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BDE" w:rsidRPr="00A64DAD" w:rsidRDefault="00CB4BDE" w:rsidP="00CB4BDE">
      <w:pPr>
        <w:pStyle w:val="nENINR"/>
        <w:rPr>
          <w:b/>
        </w:rPr>
      </w:pPr>
      <w:r w:rsidRPr="00A64DAD">
        <w:rPr>
          <w:b/>
        </w:rPr>
        <w:t>UDHËZIM</w:t>
      </w:r>
    </w:p>
    <w:p w:rsidR="00CB4BDE" w:rsidRPr="00A64DAD" w:rsidRDefault="00CB4BDE" w:rsidP="00CB4BDE">
      <w:pPr>
        <w:pStyle w:val="nENINR"/>
        <w:rPr>
          <w:b/>
        </w:rPr>
      </w:pPr>
      <w:r w:rsidRPr="00A64DAD">
        <w:rPr>
          <w:b/>
        </w:rPr>
        <w:t>Nr. 14, datë 11.11.2020</w:t>
      </w:r>
    </w:p>
    <w:p w:rsidR="00CB4BDE" w:rsidRPr="00A64DAD" w:rsidRDefault="00CB4BDE" w:rsidP="00CB4BDE">
      <w:pPr>
        <w:pStyle w:val="nENINR"/>
        <w:rPr>
          <w:b/>
        </w:rPr>
      </w:pPr>
    </w:p>
    <w:p w:rsidR="00CB4BDE" w:rsidRPr="00A64DAD" w:rsidRDefault="002146D1" w:rsidP="00CB4BDE">
      <w:pPr>
        <w:pStyle w:val="nENINR"/>
        <w:rPr>
          <w:b/>
          <w:vertAlign w:val="superscript"/>
        </w:rPr>
      </w:pPr>
      <w:r w:rsidRPr="00A64DAD">
        <w:rPr>
          <w:b/>
        </w:rPr>
        <w:t xml:space="preserve">“PËR </w:t>
      </w:r>
      <w:r w:rsidR="00CB4BDE" w:rsidRPr="00A64DAD">
        <w:rPr>
          <w:b/>
        </w:rPr>
        <w:t>CAKTIMIN E MASAVE ZBATUESE PËR PRODUKTE TË CAKTUARA NË UDHËZIMIN NR. 23, DATË 25.11.2010</w:t>
      </w:r>
      <w:r w:rsidRPr="00A64DAD">
        <w:rPr>
          <w:b/>
        </w:rPr>
        <w:t>,</w:t>
      </w:r>
      <w:r w:rsidR="00CB4BDE" w:rsidRPr="00A64DAD">
        <w:rPr>
          <w:b/>
        </w:rPr>
        <w:t xml:space="preserve"> “PËR KËRKESAT SPECIFIKE TË HIGJIENËS PËR MISHIN DHE PRODUKTET E MISHIT, DUKE PËRFSHIRË PRODUKTET E MISHIT, MISHIN E GRIRË DHE MISHIN E NDARË NË MËNYRË MEKANIKE</w:t>
      </w:r>
      <w:r w:rsidRPr="00A64DAD">
        <w:rPr>
          <w:b/>
        </w:rPr>
        <w:t>”</w:t>
      </w:r>
      <w:r w:rsidR="00CB4BDE" w:rsidRPr="00A64DAD">
        <w:rPr>
          <w:b/>
        </w:rPr>
        <w:t>, UDHËZIMIN NR. 25, DATË 25.11.2010 “PËR KUSHTET HIGJIENIKE DHE KONTROLLET PËR MOLUSQET E GJALLA DHE BIVALVORE, PESHKUN DHE PRODUKTET E PESHKIMIT”</w:t>
      </w:r>
      <w:r w:rsidRPr="00A64DAD">
        <w:rPr>
          <w:b/>
        </w:rPr>
        <w:t>,</w:t>
      </w:r>
      <w:r w:rsidR="00CB4BDE" w:rsidRPr="00A64DAD">
        <w:rPr>
          <w:b/>
        </w:rPr>
        <w:t xml:space="preserve"> DHE UDHËZIMIN NR. 5, DATË 25.3.2011</w:t>
      </w:r>
      <w:r w:rsidRPr="00A64DAD">
        <w:rPr>
          <w:b/>
        </w:rPr>
        <w:t>,</w:t>
      </w:r>
      <w:r w:rsidR="00CB4BDE" w:rsidRPr="00A64DAD">
        <w:rPr>
          <w:b/>
        </w:rPr>
        <w:t xml:space="preserve"> “PËR KËRKESAT SPECIFIKE TË HIGJIENËS PËR STABILIMENTET E PRODHIMIT, GRUMBULLIMIT DHE PËRPUNIMIT TË QUMËSHTIT DHE PRODUKTEVE ME BAZË QUMËSHTI”</w:t>
      </w:r>
      <w:r w:rsidR="00CB4BDE" w:rsidRPr="00A64DAD">
        <w:rPr>
          <w:rStyle w:val="FootnoteReference"/>
          <w:b/>
        </w:rPr>
        <w:footnoteReference w:id="2"/>
      </w:r>
    </w:p>
    <w:p w:rsidR="00CB4BDE" w:rsidRPr="00A64DAD" w:rsidRDefault="00CB4BDE" w:rsidP="00CB4BDE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</w:p>
    <w:p w:rsidR="00CB4BDE" w:rsidRPr="00A64DAD" w:rsidRDefault="00CB4BDE" w:rsidP="00CB4BDE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A64DAD">
        <w:rPr>
          <w:rFonts w:ascii="Garamond" w:hAnsi="Garamond"/>
          <w:sz w:val="24"/>
          <w:szCs w:val="24"/>
        </w:rPr>
        <w:t>Në mbështetje të nenit 102, pika 4</w:t>
      </w:r>
      <w:r w:rsidR="002146D1" w:rsidRPr="00A64DAD">
        <w:rPr>
          <w:rFonts w:ascii="Garamond" w:hAnsi="Garamond"/>
          <w:sz w:val="24"/>
          <w:szCs w:val="24"/>
        </w:rPr>
        <w:t>,</w:t>
      </w:r>
      <w:r w:rsidRPr="00A64DAD">
        <w:rPr>
          <w:rFonts w:ascii="Garamond" w:hAnsi="Garamond"/>
          <w:sz w:val="24"/>
          <w:szCs w:val="24"/>
        </w:rPr>
        <w:t xml:space="preserve"> të Kushtetutës</w:t>
      </w:r>
      <w:r w:rsidR="002146D1" w:rsidRPr="00A64DAD">
        <w:rPr>
          <w:rFonts w:ascii="Garamond" w:hAnsi="Garamond"/>
          <w:sz w:val="24"/>
          <w:szCs w:val="24"/>
        </w:rPr>
        <w:t>,</w:t>
      </w:r>
      <w:r w:rsidRPr="00A64DAD">
        <w:rPr>
          <w:rFonts w:ascii="Garamond" w:hAnsi="Garamond"/>
          <w:sz w:val="24"/>
          <w:szCs w:val="24"/>
        </w:rPr>
        <w:t xml:space="preserve"> dhe </w:t>
      </w:r>
      <w:r w:rsidR="002146D1" w:rsidRPr="00A64DAD">
        <w:rPr>
          <w:rFonts w:ascii="Garamond" w:hAnsi="Garamond"/>
          <w:sz w:val="24"/>
          <w:szCs w:val="24"/>
        </w:rPr>
        <w:t xml:space="preserve">të </w:t>
      </w:r>
      <w:r w:rsidRPr="00A64DAD">
        <w:rPr>
          <w:rFonts w:ascii="Garamond" w:hAnsi="Garamond"/>
          <w:sz w:val="24"/>
          <w:szCs w:val="24"/>
        </w:rPr>
        <w:t xml:space="preserve">nenit 38, të </w:t>
      </w:r>
      <w:r w:rsidR="002146D1" w:rsidRPr="00A64DAD">
        <w:rPr>
          <w:rFonts w:ascii="Garamond" w:hAnsi="Garamond"/>
          <w:sz w:val="24"/>
          <w:szCs w:val="24"/>
        </w:rPr>
        <w:t xml:space="preserve">ligjit </w:t>
      </w:r>
      <w:r w:rsidRPr="00A64DAD">
        <w:rPr>
          <w:rFonts w:ascii="Garamond" w:hAnsi="Garamond"/>
          <w:sz w:val="24"/>
          <w:szCs w:val="24"/>
        </w:rPr>
        <w:t>nr. 9863, datë 28.1.2008</w:t>
      </w:r>
      <w:r w:rsidR="002146D1" w:rsidRPr="00A64DAD">
        <w:rPr>
          <w:rFonts w:ascii="Garamond" w:hAnsi="Garamond"/>
          <w:sz w:val="24"/>
          <w:szCs w:val="24"/>
        </w:rPr>
        <w:t>,</w:t>
      </w:r>
      <w:r w:rsidRPr="00A64DAD">
        <w:rPr>
          <w:rFonts w:ascii="Garamond" w:hAnsi="Garamond"/>
          <w:sz w:val="24"/>
          <w:szCs w:val="24"/>
        </w:rPr>
        <w:t xml:space="preserve"> “Për ushqimin”, </w:t>
      </w:r>
      <w:r w:rsidR="002146D1" w:rsidRPr="00A64DAD">
        <w:rPr>
          <w:rFonts w:ascii="Garamond" w:hAnsi="Garamond"/>
          <w:sz w:val="24"/>
          <w:szCs w:val="24"/>
        </w:rPr>
        <w:t>të</w:t>
      </w:r>
      <w:r w:rsidRPr="00A64DAD">
        <w:rPr>
          <w:rFonts w:ascii="Garamond" w:hAnsi="Garamond"/>
          <w:sz w:val="24"/>
          <w:szCs w:val="24"/>
        </w:rPr>
        <w:t xml:space="preserve"> ndryshuar,  </w:t>
      </w:r>
    </w:p>
    <w:p w:rsidR="00CB4BDE" w:rsidRPr="00A64DAD" w:rsidRDefault="00CB4BDE" w:rsidP="00CB4BDE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</w:p>
    <w:p w:rsidR="00CB4BDE" w:rsidRPr="00A64DAD" w:rsidRDefault="00CB4BDE" w:rsidP="00CB4BDE">
      <w:pPr>
        <w:pStyle w:val="nENINR"/>
      </w:pPr>
      <w:r w:rsidRPr="00A64DAD">
        <w:t>UDHËZOJ:</w:t>
      </w:r>
    </w:p>
    <w:p w:rsidR="00CB4BDE" w:rsidRPr="00A64DAD" w:rsidRDefault="00CB4BDE" w:rsidP="00CB4BDE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</w:p>
    <w:p w:rsidR="00CB4BDE" w:rsidRPr="00A64DAD" w:rsidRDefault="00CB4BDE" w:rsidP="00CB4BDE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A64DAD">
        <w:rPr>
          <w:rFonts w:ascii="Garamond" w:hAnsi="Garamond"/>
          <w:sz w:val="24"/>
          <w:szCs w:val="24"/>
        </w:rPr>
        <w:t>1. Kërkesat në lidhje me informacionin e zinxhirit ushqimor, siç referohet në pjesën II</w:t>
      </w:r>
      <w:r w:rsidR="00255E9F" w:rsidRPr="00A64DAD">
        <w:rPr>
          <w:rFonts w:ascii="Garamond" w:hAnsi="Garamond"/>
          <w:sz w:val="24"/>
          <w:szCs w:val="24"/>
        </w:rPr>
        <w:t>, “</w:t>
      </w:r>
      <w:r w:rsidRPr="00A64DAD">
        <w:rPr>
          <w:rFonts w:ascii="Garamond" w:hAnsi="Garamond"/>
          <w:sz w:val="24"/>
          <w:szCs w:val="24"/>
        </w:rPr>
        <w:t>Kërkesat specifike të higjienës për operatorin e biznesit ushqimor</w:t>
      </w:r>
      <w:r w:rsidR="00255E9F" w:rsidRPr="00A64DAD">
        <w:rPr>
          <w:rFonts w:ascii="Garamond" w:hAnsi="Garamond"/>
          <w:sz w:val="24"/>
          <w:szCs w:val="24"/>
        </w:rPr>
        <w:t>”,</w:t>
      </w:r>
      <w:r w:rsidRPr="00A64DAD">
        <w:rPr>
          <w:rFonts w:ascii="Garamond" w:hAnsi="Garamond"/>
          <w:sz w:val="24"/>
          <w:szCs w:val="24"/>
        </w:rPr>
        <w:t xml:space="preserve"> shkronja “a” - Informacione mbi zinxhirin ushqimor, të </w:t>
      </w:r>
      <w:r w:rsidR="00255E9F" w:rsidRPr="00A64DAD">
        <w:rPr>
          <w:rFonts w:ascii="Garamond" w:hAnsi="Garamond"/>
          <w:sz w:val="24"/>
          <w:szCs w:val="24"/>
        </w:rPr>
        <w:t xml:space="preserve">udhëzimit </w:t>
      </w:r>
      <w:r w:rsidRPr="00A64DAD">
        <w:rPr>
          <w:rFonts w:ascii="Garamond" w:hAnsi="Garamond"/>
          <w:sz w:val="24"/>
          <w:szCs w:val="24"/>
        </w:rPr>
        <w:t>nr. 23, datë 25.11.2010</w:t>
      </w:r>
      <w:r w:rsidR="00255E9F" w:rsidRPr="00A64DAD">
        <w:rPr>
          <w:rFonts w:ascii="Garamond" w:hAnsi="Garamond"/>
          <w:sz w:val="24"/>
          <w:szCs w:val="24"/>
        </w:rPr>
        <w:t>,</w:t>
      </w:r>
      <w:r w:rsidRPr="00A64DAD">
        <w:rPr>
          <w:rFonts w:ascii="Garamond" w:hAnsi="Garamond"/>
          <w:sz w:val="24"/>
          <w:szCs w:val="24"/>
        </w:rPr>
        <w:t xml:space="preserve"> “Për kërkesat specifike të higjienës për mishin dhe produktet e mishit, duke përfshirë produktet e mishit, mishin e grirë dhe mishin e ndarë në mënyrë mekanike”, të zbatohen siç përcaktohet në </w:t>
      </w:r>
      <w:r w:rsidR="00255E9F" w:rsidRPr="00A64DAD">
        <w:rPr>
          <w:rFonts w:ascii="Garamond" w:hAnsi="Garamond"/>
          <w:sz w:val="24"/>
          <w:szCs w:val="24"/>
        </w:rPr>
        <w:t xml:space="preserve">shtojcën </w:t>
      </w:r>
      <w:r w:rsidRPr="00A64DAD">
        <w:rPr>
          <w:rFonts w:ascii="Garamond" w:hAnsi="Garamond"/>
          <w:sz w:val="24"/>
          <w:szCs w:val="24"/>
        </w:rPr>
        <w:t>I të këtij udhëzimi.</w:t>
      </w:r>
    </w:p>
    <w:p w:rsidR="00CB4BDE" w:rsidRPr="00A64DAD" w:rsidRDefault="00CB4BDE" w:rsidP="00CB4BDE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A64DAD">
        <w:rPr>
          <w:rFonts w:ascii="Garamond" w:hAnsi="Garamond"/>
          <w:sz w:val="24"/>
          <w:szCs w:val="24"/>
        </w:rPr>
        <w:t>2. Kërkesat në lidhje me produktet e peshkimit</w:t>
      </w:r>
      <w:r w:rsidR="00255E9F" w:rsidRPr="00A64DAD">
        <w:rPr>
          <w:rFonts w:ascii="Garamond" w:hAnsi="Garamond"/>
          <w:sz w:val="24"/>
          <w:szCs w:val="24"/>
        </w:rPr>
        <w:t>,</w:t>
      </w:r>
      <w:r w:rsidRPr="00A64DAD">
        <w:rPr>
          <w:rFonts w:ascii="Garamond" w:hAnsi="Garamond"/>
          <w:sz w:val="24"/>
          <w:szCs w:val="24"/>
        </w:rPr>
        <w:t xml:space="preserve"> siç referohet në </w:t>
      </w:r>
      <w:r w:rsidR="00255E9F" w:rsidRPr="00A64DAD">
        <w:rPr>
          <w:rFonts w:ascii="Garamond" w:hAnsi="Garamond"/>
          <w:sz w:val="24"/>
          <w:szCs w:val="24"/>
        </w:rPr>
        <w:t xml:space="preserve">seksionin </w:t>
      </w:r>
      <w:r w:rsidRPr="00A64DAD">
        <w:rPr>
          <w:rFonts w:ascii="Garamond" w:hAnsi="Garamond"/>
          <w:sz w:val="24"/>
          <w:szCs w:val="24"/>
        </w:rPr>
        <w:t>II</w:t>
      </w:r>
      <w:r w:rsidR="00255E9F" w:rsidRPr="00A64DAD">
        <w:rPr>
          <w:rFonts w:ascii="Garamond" w:hAnsi="Garamond"/>
          <w:sz w:val="24"/>
          <w:szCs w:val="24"/>
        </w:rPr>
        <w:t>,</w:t>
      </w:r>
      <w:r w:rsidRPr="00A64DAD">
        <w:rPr>
          <w:rFonts w:ascii="Garamond" w:hAnsi="Garamond"/>
          <w:sz w:val="24"/>
          <w:szCs w:val="24"/>
        </w:rPr>
        <w:t xml:space="preserve"> </w:t>
      </w:r>
      <w:r w:rsidR="00255E9F" w:rsidRPr="00A64DAD">
        <w:rPr>
          <w:rFonts w:ascii="Garamond" w:hAnsi="Garamond"/>
          <w:sz w:val="24"/>
          <w:szCs w:val="24"/>
        </w:rPr>
        <w:t>“</w:t>
      </w:r>
      <w:r w:rsidRPr="00A64DAD">
        <w:rPr>
          <w:rFonts w:ascii="Garamond" w:hAnsi="Garamond"/>
          <w:sz w:val="24"/>
          <w:szCs w:val="24"/>
        </w:rPr>
        <w:t>Kërkesat higjienike specifike për produktet e peshkimit</w:t>
      </w:r>
      <w:r w:rsidR="00255E9F" w:rsidRPr="00A64DAD">
        <w:rPr>
          <w:rFonts w:ascii="Garamond" w:hAnsi="Garamond"/>
          <w:sz w:val="24"/>
          <w:szCs w:val="24"/>
        </w:rPr>
        <w:t>”</w:t>
      </w:r>
      <w:r w:rsidRPr="00A64DAD">
        <w:rPr>
          <w:rFonts w:ascii="Garamond" w:hAnsi="Garamond"/>
          <w:sz w:val="24"/>
          <w:szCs w:val="24"/>
        </w:rPr>
        <w:t xml:space="preserve">, pika 39, shkronjat “b” dhe “c”, të </w:t>
      </w:r>
      <w:r w:rsidR="00255E9F" w:rsidRPr="00A64DAD">
        <w:rPr>
          <w:rFonts w:ascii="Garamond" w:hAnsi="Garamond"/>
          <w:sz w:val="24"/>
          <w:szCs w:val="24"/>
        </w:rPr>
        <w:t xml:space="preserve">udhëzimit </w:t>
      </w:r>
      <w:r w:rsidRPr="00A64DAD">
        <w:rPr>
          <w:rFonts w:ascii="Garamond" w:hAnsi="Garamond"/>
          <w:sz w:val="24"/>
          <w:szCs w:val="24"/>
        </w:rPr>
        <w:t>nr. 25, datë 25.11.2010</w:t>
      </w:r>
      <w:r w:rsidR="00255E9F" w:rsidRPr="00A64DAD">
        <w:rPr>
          <w:rFonts w:ascii="Garamond" w:hAnsi="Garamond"/>
          <w:sz w:val="24"/>
          <w:szCs w:val="24"/>
        </w:rPr>
        <w:t>,</w:t>
      </w:r>
      <w:r w:rsidRPr="00A64DAD">
        <w:rPr>
          <w:rFonts w:ascii="Garamond" w:hAnsi="Garamond"/>
          <w:sz w:val="24"/>
          <w:szCs w:val="24"/>
        </w:rPr>
        <w:t xml:space="preserve"> “Për kushtet higjienike dhe kontrollet për molusqet e gjalla dhe bivalvore, peshkun dhe produktet e peshkimit”, të zbatohen siç përcaktohet në </w:t>
      </w:r>
      <w:r w:rsidR="00255E9F" w:rsidRPr="00A64DAD">
        <w:rPr>
          <w:rFonts w:ascii="Garamond" w:hAnsi="Garamond"/>
          <w:sz w:val="24"/>
          <w:szCs w:val="24"/>
        </w:rPr>
        <w:t xml:space="preserve">shtojcën </w:t>
      </w:r>
      <w:r w:rsidRPr="00A64DAD">
        <w:rPr>
          <w:rFonts w:ascii="Garamond" w:hAnsi="Garamond"/>
          <w:sz w:val="24"/>
          <w:szCs w:val="24"/>
        </w:rPr>
        <w:t>II të këtij udhëzimi.</w:t>
      </w:r>
    </w:p>
    <w:p w:rsidR="00CB4BDE" w:rsidRPr="00A64DAD" w:rsidRDefault="00CB4BDE" w:rsidP="00CB4BDE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A64DAD">
        <w:rPr>
          <w:rFonts w:ascii="Garamond" w:hAnsi="Garamond"/>
          <w:sz w:val="24"/>
          <w:szCs w:val="24"/>
        </w:rPr>
        <w:t>3. Përmbajtja e kalciumit të mishit të ndarë mekanikisht, siç referohet në pikën 10, shkronja “d”, mishi i grirë, produktet e mishit dhe mishi i ndarë në mënyrë mekanike (MNM) II</w:t>
      </w:r>
      <w:r w:rsidR="00255E9F" w:rsidRPr="00A64DAD">
        <w:rPr>
          <w:rFonts w:ascii="Garamond" w:hAnsi="Garamond"/>
          <w:sz w:val="24"/>
          <w:szCs w:val="24"/>
        </w:rPr>
        <w:t>,</w:t>
      </w:r>
      <w:r w:rsidRPr="00A64DAD">
        <w:rPr>
          <w:rFonts w:ascii="Garamond" w:hAnsi="Garamond"/>
          <w:sz w:val="24"/>
          <w:szCs w:val="24"/>
        </w:rPr>
        <w:t xml:space="preserve"> </w:t>
      </w:r>
      <w:r w:rsidR="00255E9F" w:rsidRPr="00A64DAD">
        <w:rPr>
          <w:rFonts w:ascii="Garamond" w:hAnsi="Garamond"/>
          <w:sz w:val="24"/>
          <w:szCs w:val="24"/>
        </w:rPr>
        <w:t>“</w:t>
      </w:r>
      <w:r w:rsidRPr="00A64DAD">
        <w:rPr>
          <w:rFonts w:ascii="Garamond" w:hAnsi="Garamond"/>
          <w:sz w:val="24"/>
          <w:szCs w:val="24"/>
        </w:rPr>
        <w:t>Kërkesat specifike të higjienës për operatorin e biznesit ushqimor</w:t>
      </w:r>
      <w:r w:rsidR="00255E9F" w:rsidRPr="00A64DAD">
        <w:rPr>
          <w:rFonts w:ascii="Garamond" w:hAnsi="Garamond"/>
          <w:sz w:val="24"/>
          <w:szCs w:val="24"/>
        </w:rPr>
        <w:t>”,</w:t>
      </w:r>
      <w:r w:rsidRPr="00A64DAD">
        <w:rPr>
          <w:rFonts w:ascii="Garamond" w:hAnsi="Garamond"/>
          <w:sz w:val="24"/>
          <w:szCs w:val="24"/>
        </w:rPr>
        <w:t xml:space="preserve"> të </w:t>
      </w:r>
      <w:r w:rsidR="00255E9F" w:rsidRPr="00A64DAD">
        <w:rPr>
          <w:rFonts w:ascii="Garamond" w:hAnsi="Garamond"/>
          <w:sz w:val="24"/>
          <w:szCs w:val="24"/>
        </w:rPr>
        <w:t xml:space="preserve">udhëzimit </w:t>
      </w:r>
      <w:r w:rsidRPr="00A64DAD">
        <w:rPr>
          <w:rFonts w:ascii="Garamond" w:hAnsi="Garamond"/>
          <w:sz w:val="24"/>
          <w:szCs w:val="24"/>
        </w:rPr>
        <w:t>nr. 23, datë 25.11.2010</w:t>
      </w:r>
      <w:r w:rsidR="00255E9F" w:rsidRPr="00A64DAD">
        <w:rPr>
          <w:rFonts w:ascii="Garamond" w:hAnsi="Garamond"/>
          <w:sz w:val="24"/>
          <w:szCs w:val="24"/>
        </w:rPr>
        <w:t>,</w:t>
      </w:r>
      <w:r w:rsidRPr="00A64DAD">
        <w:rPr>
          <w:rFonts w:ascii="Garamond" w:hAnsi="Garamond"/>
          <w:sz w:val="24"/>
          <w:szCs w:val="24"/>
        </w:rPr>
        <w:t xml:space="preserve"> “Për kërkesat specifike të higjienës për mishin dhe produktet e mishit, duke përfshirë produktet e mishit, mishin e grirë dhe mishin e ndarë në mënyrë mekanike”, të zbatohet siç përcaktohet në </w:t>
      </w:r>
      <w:r w:rsidR="00E74E54" w:rsidRPr="00A64DAD">
        <w:rPr>
          <w:rFonts w:ascii="Garamond" w:hAnsi="Garamond"/>
          <w:sz w:val="24"/>
          <w:szCs w:val="24"/>
        </w:rPr>
        <w:t xml:space="preserve">shtojcën </w:t>
      </w:r>
      <w:r w:rsidRPr="00A64DAD">
        <w:rPr>
          <w:rFonts w:ascii="Garamond" w:hAnsi="Garamond"/>
          <w:sz w:val="24"/>
          <w:szCs w:val="24"/>
        </w:rPr>
        <w:t>III të këtij udhëzimi.</w:t>
      </w:r>
    </w:p>
    <w:p w:rsidR="00CB4BDE" w:rsidRPr="00A64DAD" w:rsidRDefault="00CB4BDE" w:rsidP="00CB4BDE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A64DAD">
        <w:rPr>
          <w:rFonts w:ascii="Garamond" w:hAnsi="Garamond"/>
          <w:sz w:val="24"/>
          <w:szCs w:val="24"/>
        </w:rPr>
        <w:t>4. Metodat analitike të përdoren nga operatorët e biznesit për të kontrolluar përputhshmërinë me limitet e përcaktuara në pikën 28, pjesa II</w:t>
      </w:r>
      <w:r w:rsidR="00E74E54" w:rsidRPr="00A64DAD">
        <w:rPr>
          <w:rFonts w:ascii="Garamond" w:hAnsi="Garamond"/>
          <w:sz w:val="24"/>
          <w:szCs w:val="24"/>
        </w:rPr>
        <w:t>, “</w:t>
      </w:r>
      <w:r w:rsidRPr="00A64DAD">
        <w:rPr>
          <w:rFonts w:ascii="Garamond" w:hAnsi="Garamond"/>
          <w:sz w:val="24"/>
          <w:szCs w:val="24"/>
        </w:rPr>
        <w:t>Kërkesat specifike në lidhje me fermat e prodhimit të qumështit, qumështit të papërpunuar dhe produkteve me bazë qumështi</w:t>
      </w:r>
      <w:r w:rsidR="00E74E54" w:rsidRPr="00A64DAD">
        <w:rPr>
          <w:rFonts w:ascii="Garamond" w:hAnsi="Garamond"/>
          <w:sz w:val="24"/>
          <w:szCs w:val="24"/>
        </w:rPr>
        <w:t>”,</w:t>
      </w:r>
      <w:r w:rsidRPr="00A64DAD">
        <w:rPr>
          <w:rFonts w:ascii="Garamond" w:hAnsi="Garamond"/>
          <w:sz w:val="24"/>
          <w:szCs w:val="24"/>
        </w:rPr>
        <w:t xml:space="preserve"> të </w:t>
      </w:r>
      <w:r w:rsidR="00E74E54" w:rsidRPr="00A64DAD">
        <w:rPr>
          <w:rFonts w:ascii="Garamond" w:hAnsi="Garamond"/>
          <w:sz w:val="24"/>
          <w:szCs w:val="24"/>
        </w:rPr>
        <w:t xml:space="preserve">udhëzimit </w:t>
      </w:r>
      <w:r w:rsidRPr="00A64DAD">
        <w:rPr>
          <w:rFonts w:ascii="Garamond" w:hAnsi="Garamond"/>
          <w:sz w:val="24"/>
          <w:szCs w:val="24"/>
        </w:rPr>
        <w:t>nr. 5, datë 25.3.2011</w:t>
      </w:r>
      <w:r w:rsidR="00E74E54" w:rsidRPr="00A64DAD">
        <w:rPr>
          <w:rFonts w:ascii="Garamond" w:hAnsi="Garamond"/>
          <w:sz w:val="24"/>
          <w:szCs w:val="24"/>
        </w:rPr>
        <w:t>,</w:t>
      </w:r>
      <w:r w:rsidRPr="00A64DAD">
        <w:rPr>
          <w:rFonts w:ascii="Garamond" w:hAnsi="Garamond"/>
          <w:sz w:val="24"/>
          <w:szCs w:val="24"/>
        </w:rPr>
        <w:t xml:space="preserve"> “Për kërkesat specifike të higjienës për stabilimentet e prodhimit, grumbullimit dhe përpunimit të qumështit dhe produkteve me bazë qumështi” dhe për të siguruar zbatimin e duhur të një procesi të pasterizimit në produktet e qumështit</w:t>
      </w:r>
      <w:r w:rsidR="00E74E54" w:rsidRPr="00A64DAD">
        <w:rPr>
          <w:rFonts w:ascii="Garamond" w:hAnsi="Garamond"/>
          <w:sz w:val="24"/>
          <w:szCs w:val="24"/>
        </w:rPr>
        <w:t>,</w:t>
      </w:r>
      <w:r w:rsidRPr="00A64DAD">
        <w:rPr>
          <w:rFonts w:ascii="Garamond" w:hAnsi="Garamond"/>
          <w:sz w:val="24"/>
          <w:szCs w:val="24"/>
        </w:rPr>
        <w:t xml:space="preserve"> siç referohet te </w:t>
      </w:r>
      <w:r w:rsidR="00E74E54" w:rsidRPr="00A64DAD">
        <w:rPr>
          <w:rFonts w:ascii="Garamond" w:hAnsi="Garamond"/>
          <w:sz w:val="24"/>
          <w:szCs w:val="24"/>
        </w:rPr>
        <w:t xml:space="preserve">shtojca </w:t>
      </w:r>
      <w:r w:rsidRPr="00A64DAD">
        <w:rPr>
          <w:rFonts w:ascii="Garamond" w:hAnsi="Garamond"/>
          <w:sz w:val="24"/>
          <w:szCs w:val="24"/>
        </w:rPr>
        <w:t>IV e këtij  udhëzimi.</w:t>
      </w:r>
    </w:p>
    <w:p w:rsidR="00CB4BDE" w:rsidRPr="00A64DAD" w:rsidRDefault="00CB4BDE" w:rsidP="00CB4BDE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A64DAD">
        <w:rPr>
          <w:rFonts w:ascii="Garamond" w:hAnsi="Garamond"/>
          <w:sz w:val="24"/>
          <w:szCs w:val="24"/>
        </w:rPr>
        <w:t>5. Pika 14, Seksioni B “Mishi i thundrakëve shtëpiakë”, te pjesa II</w:t>
      </w:r>
      <w:r w:rsidR="00E74E54" w:rsidRPr="00A64DAD">
        <w:rPr>
          <w:rFonts w:ascii="Garamond" w:hAnsi="Garamond"/>
          <w:sz w:val="24"/>
          <w:szCs w:val="24"/>
        </w:rPr>
        <w:t>, “</w:t>
      </w:r>
      <w:r w:rsidRPr="00A64DAD">
        <w:rPr>
          <w:rFonts w:ascii="Garamond" w:hAnsi="Garamond"/>
          <w:sz w:val="24"/>
          <w:szCs w:val="24"/>
        </w:rPr>
        <w:t>Kërkesat specifike të higjienës për operatorin e biznesit ushqimor</w:t>
      </w:r>
      <w:r w:rsidR="00E74E54" w:rsidRPr="00A64DAD">
        <w:rPr>
          <w:rFonts w:ascii="Garamond" w:hAnsi="Garamond"/>
          <w:sz w:val="24"/>
          <w:szCs w:val="24"/>
        </w:rPr>
        <w:t>”</w:t>
      </w:r>
      <w:r w:rsidRPr="00A64DAD">
        <w:rPr>
          <w:rFonts w:ascii="Garamond" w:hAnsi="Garamond"/>
          <w:sz w:val="24"/>
          <w:szCs w:val="24"/>
        </w:rPr>
        <w:t xml:space="preserve">, të </w:t>
      </w:r>
      <w:r w:rsidR="00E74E54" w:rsidRPr="00A64DAD">
        <w:rPr>
          <w:rFonts w:ascii="Garamond" w:hAnsi="Garamond"/>
          <w:sz w:val="24"/>
          <w:szCs w:val="24"/>
        </w:rPr>
        <w:t xml:space="preserve">udhëzimit </w:t>
      </w:r>
      <w:r w:rsidRPr="00A64DAD">
        <w:rPr>
          <w:rFonts w:ascii="Garamond" w:hAnsi="Garamond"/>
          <w:sz w:val="24"/>
          <w:szCs w:val="24"/>
        </w:rPr>
        <w:t>nr. 23, datë 25.11.2010</w:t>
      </w:r>
      <w:r w:rsidR="00E74E54" w:rsidRPr="00A64DAD">
        <w:rPr>
          <w:rFonts w:ascii="Garamond" w:hAnsi="Garamond"/>
          <w:sz w:val="24"/>
          <w:szCs w:val="24"/>
        </w:rPr>
        <w:t>,</w:t>
      </w:r>
      <w:r w:rsidRPr="00A64DAD">
        <w:rPr>
          <w:rFonts w:ascii="Garamond" w:hAnsi="Garamond"/>
          <w:sz w:val="24"/>
          <w:szCs w:val="24"/>
        </w:rPr>
        <w:t xml:space="preserve"> “Për kërkesat specifike të higjienës për mishin dhe produktet e mishit, duke përfshirë produktet e mishit, mishin e grirë dhe mishin e ndarë në mënyrë mekanike”, është ndryshuar në përputhje me </w:t>
      </w:r>
      <w:r w:rsidR="00E74E54" w:rsidRPr="00A64DAD">
        <w:rPr>
          <w:rFonts w:ascii="Garamond" w:hAnsi="Garamond"/>
          <w:sz w:val="24"/>
          <w:szCs w:val="24"/>
        </w:rPr>
        <w:t xml:space="preserve">shtojcën </w:t>
      </w:r>
      <w:r w:rsidRPr="00A64DAD">
        <w:rPr>
          <w:rFonts w:ascii="Garamond" w:hAnsi="Garamond"/>
          <w:sz w:val="24"/>
          <w:szCs w:val="24"/>
        </w:rPr>
        <w:t>IV të këtij udhëzimi.</w:t>
      </w:r>
    </w:p>
    <w:p w:rsidR="00CB4BDE" w:rsidRPr="00A64DAD" w:rsidRDefault="00CB4BDE" w:rsidP="00CB4BDE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A64DAD">
        <w:rPr>
          <w:rFonts w:ascii="Garamond" w:hAnsi="Garamond"/>
          <w:sz w:val="24"/>
          <w:szCs w:val="24"/>
        </w:rPr>
        <w:t>6. Për zbatimin e këtij udhëzimi, ngarkohet Ministria e Bujqësisë dhe Zhvillimit Rural dhe Autoriteti Kombëtar i Ushqimit.</w:t>
      </w:r>
    </w:p>
    <w:p w:rsidR="00CB4BDE" w:rsidRPr="00A64DAD" w:rsidRDefault="00CB4BDE" w:rsidP="00CB4BDE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A64DAD">
        <w:rPr>
          <w:rFonts w:ascii="Garamond" w:hAnsi="Garamond"/>
          <w:sz w:val="24"/>
          <w:szCs w:val="24"/>
        </w:rPr>
        <w:t>Ky udhëzim hyn në fuqi pas botimit në Fletoren Zyrtare.</w:t>
      </w:r>
    </w:p>
    <w:p w:rsidR="00CB4BDE" w:rsidRPr="00A64DAD" w:rsidRDefault="00CB4BDE" w:rsidP="00CB4BDE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</w:p>
    <w:p w:rsidR="00CB4BDE" w:rsidRPr="00A64DAD" w:rsidRDefault="00CB4BDE" w:rsidP="00CB4BDE">
      <w:pPr>
        <w:spacing w:after="0" w:line="240" w:lineRule="auto"/>
        <w:ind w:firstLine="284"/>
        <w:jc w:val="right"/>
        <w:rPr>
          <w:rFonts w:ascii="Garamond" w:hAnsi="Garamond"/>
          <w:sz w:val="24"/>
          <w:szCs w:val="24"/>
        </w:rPr>
      </w:pPr>
      <w:r w:rsidRPr="00A64DAD">
        <w:rPr>
          <w:rFonts w:ascii="Garamond" w:hAnsi="Garamond"/>
          <w:sz w:val="24"/>
          <w:szCs w:val="24"/>
        </w:rPr>
        <w:t xml:space="preserve">MINISTËR I BUJQËSISË DHE </w:t>
      </w:r>
    </w:p>
    <w:p w:rsidR="00CB4BDE" w:rsidRPr="00A64DAD" w:rsidRDefault="00CB4BDE" w:rsidP="00CB4BDE">
      <w:pPr>
        <w:spacing w:after="0" w:line="240" w:lineRule="auto"/>
        <w:ind w:firstLine="284"/>
        <w:jc w:val="right"/>
        <w:rPr>
          <w:rFonts w:ascii="Garamond" w:hAnsi="Garamond"/>
          <w:sz w:val="24"/>
          <w:szCs w:val="24"/>
        </w:rPr>
      </w:pPr>
      <w:r w:rsidRPr="00A64DAD">
        <w:rPr>
          <w:rFonts w:ascii="Garamond" w:hAnsi="Garamond"/>
          <w:sz w:val="24"/>
          <w:szCs w:val="24"/>
        </w:rPr>
        <w:t>ZHVILLIMIT RURAL</w:t>
      </w:r>
    </w:p>
    <w:p w:rsidR="00CB4BDE" w:rsidRPr="00A64DAD" w:rsidRDefault="00CB4BDE" w:rsidP="00CB4BDE">
      <w:pPr>
        <w:spacing w:after="0" w:line="240" w:lineRule="auto"/>
        <w:ind w:firstLine="284"/>
        <w:jc w:val="right"/>
        <w:rPr>
          <w:rFonts w:ascii="Garamond" w:hAnsi="Garamond"/>
          <w:b/>
          <w:sz w:val="24"/>
          <w:szCs w:val="24"/>
        </w:rPr>
      </w:pPr>
      <w:r w:rsidRPr="00A64DAD">
        <w:rPr>
          <w:rFonts w:ascii="Garamond" w:hAnsi="Garamond"/>
          <w:b/>
          <w:sz w:val="24"/>
          <w:szCs w:val="24"/>
        </w:rPr>
        <w:t>Bledar Çuçi</w:t>
      </w:r>
    </w:p>
    <w:p w:rsidR="00CB4BDE" w:rsidRPr="00A64DAD" w:rsidRDefault="00CB4BDE" w:rsidP="00CB4BDE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</w:p>
    <w:p w:rsidR="00CB4BDE" w:rsidRPr="00A64DAD" w:rsidRDefault="00CB4BDE" w:rsidP="00CB4BDE">
      <w:pPr>
        <w:pStyle w:val="nENINR"/>
      </w:pPr>
      <w:r w:rsidRPr="00A64DAD">
        <w:t>SHTOJCA I</w:t>
      </w:r>
    </w:p>
    <w:p w:rsidR="00CB4BDE" w:rsidRPr="00A64DAD" w:rsidRDefault="00CB4BDE" w:rsidP="00CB4BDE">
      <w:pPr>
        <w:pStyle w:val="nENINR"/>
      </w:pPr>
      <w:r w:rsidRPr="00A64DAD">
        <w:t>INFORMACIONI I ZINXHIRIT USHQIMOR</w:t>
      </w:r>
    </w:p>
    <w:p w:rsidR="00CB4BDE" w:rsidRPr="00A64DAD" w:rsidRDefault="00CB4BDE" w:rsidP="00CB4BDE">
      <w:pPr>
        <w:pStyle w:val="nENINR"/>
      </w:pPr>
    </w:p>
    <w:p w:rsidR="00CB4BDE" w:rsidRPr="00A64DAD" w:rsidRDefault="00CB4BDE" w:rsidP="00CB4BDE">
      <w:pPr>
        <w:pStyle w:val="nENINR"/>
      </w:pPr>
      <w:r w:rsidRPr="00A64DAD">
        <w:t>SEKSIONI I</w:t>
      </w:r>
    </w:p>
    <w:p w:rsidR="00CB4BDE" w:rsidRPr="00A64DAD" w:rsidRDefault="00CB4BDE" w:rsidP="00CB4BDE">
      <w:pPr>
        <w:pStyle w:val="nENINR"/>
      </w:pPr>
      <w:r w:rsidRPr="00A64DAD">
        <w:t>DETYRIMET NË OPERATORËT E BIZNESIT USHQIMOR</w:t>
      </w:r>
    </w:p>
    <w:p w:rsidR="00CB4BDE" w:rsidRPr="00A64DAD" w:rsidRDefault="00CB4BDE" w:rsidP="00CB4BDE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</w:p>
    <w:p w:rsidR="00CB4BDE" w:rsidRPr="00A64DAD" w:rsidRDefault="00CB4BDE" w:rsidP="00CB4BDE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A64DAD">
        <w:rPr>
          <w:rFonts w:ascii="Garamond" w:hAnsi="Garamond"/>
          <w:sz w:val="24"/>
          <w:szCs w:val="24"/>
        </w:rPr>
        <w:t>Operatorët që rrisin kafshë</w:t>
      </w:r>
      <w:r w:rsidR="00E74E54" w:rsidRPr="00A64DAD">
        <w:rPr>
          <w:rFonts w:ascii="Garamond" w:hAnsi="Garamond"/>
          <w:sz w:val="24"/>
          <w:szCs w:val="24"/>
        </w:rPr>
        <w:t>,</w:t>
      </w:r>
      <w:r w:rsidRPr="00A64DAD">
        <w:rPr>
          <w:rFonts w:ascii="Garamond" w:hAnsi="Garamond"/>
          <w:sz w:val="24"/>
          <w:szCs w:val="24"/>
        </w:rPr>
        <w:t xml:space="preserve"> të cilat dërgohen për therje duhet të sigurojnë që informacioni i zinxhirit ushqimor</w:t>
      </w:r>
      <w:r w:rsidR="00E74E54" w:rsidRPr="00A64DAD">
        <w:rPr>
          <w:rFonts w:ascii="Garamond" w:hAnsi="Garamond"/>
          <w:sz w:val="24"/>
          <w:szCs w:val="24"/>
        </w:rPr>
        <w:t>,</w:t>
      </w:r>
      <w:r w:rsidRPr="00A64DAD">
        <w:rPr>
          <w:rFonts w:ascii="Garamond" w:hAnsi="Garamond"/>
          <w:sz w:val="24"/>
          <w:szCs w:val="24"/>
        </w:rPr>
        <w:t xml:space="preserve"> siç referohet në </w:t>
      </w:r>
      <w:r w:rsidR="00E74E54" w:rsidRPr="00A64DAD">
        <w:rPr>
          <w:rFonts w:ascii="Garamond" w:hAnsi="Garamond"/>
          <w:sz w:val="24"/>
          <w:szCs w:val="24"/>
        </w:rPr>
        <w:t xml:space="preserve">udhëzimin </w:t>
      </w:r>
      <w:r w:rsidRPr="00A64DAD">
        <w:rPr>
          <w:rFonts w:ascii="Garamond" w:hAnsi="Garamond"/>
          <w:sz w:val="24"/>
          <w:szCs w:val="24"/>
        </w:rPr>
        <w:t>nr. 23, datë 25.11.2010</w:t>
      </w:r>
      <w:r w:rsidR="00E74E54" w:rsidRPr="00A64DAD">
        <w:rPr>
          <w:rFonts w:ascii="Garamond" w:hAnsi="Garamond"/>
          <w:sz w:val="24"/>
          <w:szCs w:val="24"/>
        </w:rPr>
        <w:t>,</w:t>
      </w:r>
      <w:r w:rsidRPr="00A64DAD">
        <w:rPr>
          <w:rFonts w:ascii="Garamond" w:hAnsi="Garamond"/>
          <w:sz w:val="24"/>
          <w:szCs w:val="24"/>
        </w:rPr>
        <w:t xml:space="preserve"> “Për kërkesat specifike të higjienës për mishin dhe produktet e mishit, duke përfshirë produktet e mishit, mishin e grirë dhe mishin e ndarë në mënyrë mekanike”, të përfshihet, siç është e përshtatshme, në dokumentacionin në lidhje me kafshët e dërguara në thertore</w:t>
      </w:r>
      <w:r w:rsidR="00E74E54" w:rsidRPr="00A64DAD">
        <w:rPr>
          <w:rFonts w:ascii="Garamond" w:hAnsi="Garamond"/>
          <w:sz w:val="24"/>
          <w:szCs w:val="24"/>
        </w:rPr>
        <w:t>,</w:t>
      </w:r>
      <w:r w:rsidRPr="00A64DAD">
        <w:rPr>
          <w:rFonts w:ascii="Garamond" w:hAnsi="Garamond"/>
          <w:sz w:val="24"/>
          <w:szCs w:val="24"/>
        </w:rPr>
        <w:t xml:space="preserve"> në mënyrë të tillë që të jetë e arritshme për operatorin e thertores në fjalë.</w:t>
      </w:r>
    </w:p>
    <w:p w:rsidR="00CB4BDE" w:rsidRPr="00A64DAD" w:rsidRDefault="00CB4BDE" w:rsidP="00CB4BDE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</w:p>
    <w:p w:rsidR="00CB4BDE" w:rsidRPr="00A64DAD" w:rsidRDefault="00CB4BDE" w:rsidP="00CB4BDE">
      <w:pPr>
        <w:pStyle w:val="nENINR"/>
      </w:pPr>
      <w:r w:rsidRPr="00A64DAD">
        <w:t xml:space="preserve">SHTOJCA II </w:t>
      </w:r>
    </w:p>
    <w:p w:rsidR="00CB4BDE" w:rsidRPr="00A64DAD" w:rsidRDefault="00CB4BDE" w:rsidP="00CB4BDE">
      <w:pPr>
        <w:pStyle w:val="nENINR"/>
      </w:pPr>
      <w:r w:rsidRPr="00A64DAD">
        <w:t>PRODUKTET E PESHKIMIT</w:t>
      </w:r>
    </w:p>
    <w:p w:rsidR="00E74E54" w:rsidRPr="00A64DAD" w:rsidRDefault="00E74E54" w:rsidP="00CB4BDE">
      <w:pPr>
        <w:pStyle w:val="nENINR"/>
      </w:pPr>
    </w:p>
    <w:p w:rsidR="00CB4BDE" w:rsidRPr="00A64DAD" w:rsidRDefault="00CB4BDE" w:rsidP="00CB4BDE">
      <w:pPr>
        <w:pStyle w:val="nENINR"/>
      </w:pPr>
      <w:r w:rsidRPr="00A64DAD">
        <w:t>SEKSIONI I</w:t>
      </w:r>
    </w:p>
    <w:p w:rsidR="00CB4BDE" w:rsidRPr="00A64DAD" w:rsidRDefault="00CB4BDE" w:rsidP="00CB4BDE">
      <w:pPr>
        <w:pStyle w:val="nENINR"/>
      </w:pPr>
      <w:r w:rsidRPr="00A64DAD">
        <w:t xml:space="preserve">DETYRIMET E OPERATORËVE TË BIZNESIT </w:t>
      </w:r>
    </w:p>
    <w:p w:rsidR="00CB4BDE" w:rsidRPr="00A64DAD" w:rsidRDefault="00CB4BDE" w:rsidP="00CB4BDE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</w:p>
    <w:p w:rsidR="00CB4BDE" w:rsidRPr="00A64DAD" w:rsidRDefault="00CB4BDE" w:rsidP="00CB4BDE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A64DAD">
        <w:rPr>
          <w:rFonts w:ascii="Garamond" w:hAnsi="Garamond"/>
          <w:sz w:val="24"/>
          <w:szCs w:val="24"/>
        </w:rPr>
        <w:t>Ky seksion parashtron rregulla të detajuara</w:t>
      </w:r>
      <w:r w:rsidR="00E74E54" w:rsidRPr="00A64DAD">
        <w:rPr>
          <w:rFonts w:ascii="Garamond" w:hAnsi="Garamond"/>
          <w:sz w:val="24"/>
          <w:szCs w:val="24"/>
        </w:rPr>
        <w:t>,</w:t>
      </w:r>
      <w:r w:rsidRPr="00A64DAD">
        <w:rPr>
          <w:rFonts w:ascii="Garamond" w:hAnsi="Garamond"/>
          <w:sz w:val="24"/>
          <w:szCs w:val="24"/>
        </w:rPr>
        <w:t xml:space="preserve"> në lidhje me inspektimet vizuale për të zbuluar parazitët në produktet e peshkimit.</w:t>
      </w:r>
    </w:p>
    <w:p w:rsidR="00CB4BDE" w:rsidRPr="00A64DAD" w:rsidRDefault="00CB4BDE" w:rsidP="00CB4BDE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</w:p>
    <w:p w:rsidR="00CB4BDE" w:rsidRPr="00A64DAD" w:rsidRDefault="00CB4BDE" w:rsidP="00CB4BDE">
      <w:pPr>
        <w:pStyle w:val="nENINR"/>
      </w:pPr>
      <w:r w:rsidRPr="00A64DAD">
        <w:t>KAPITULLI I</w:t>
      </w:r>
    </w:p>
    <w:p w:rsidR="00CB4BDE" w:rsidRPr="00A64DAD" w:rsidRDefault="00CB4BDE" w:rsidP="00CB4BDE">
      <w:pPr>
        <w:pStyle w:val="nENINR"/>
      </w:pPr>
      <w:r w:rsidRPr="00A64DAD">
        <w:t>PËRKUFIZIMET</w:t>
      </w:r>
    </w:p>
    <w:p w:rsidR="00CB4BDE" w:rsidRPr="00A64DAD" w:rsidRDefault="00CB4BDE" w:rsidP="00CB4BDE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</w:p>
    <w:p w:rsidR="00CB4BDE" w:rsidRPr="00A64DAD" w:rsidRDefault="00CB4BDE" w:rsidP="00CB4BDE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A64DAD">
        <w:rPr>
          <w:rFonts w:ascii="Garamond" w:hAnsi="Garamond"/>
          <w:sz w:val="24"/>
          <w:szCs w:val="24"/>
        </w:rPr>
        <w:t>1. “Parazit i dukshëm” nënkupton një parazit ose një grup parazitësh</w:t>
      </w:r>
      <w:r w:rsidR="00E74E54" w:rsidRPr="00A64DAD">
        <w:rPr>
          <w:rFonts w:ascii="Garamond" w:hAnsi="Garamond"/>
          <w:sz w:val="24"/>
          <w:szCs w:val="24"/>
        </w:rPr>
        <w:t>,</w:t>
      </w:r>
      <w:r w:rsidRPr="00A64DAD">
        <w:rPr>
          <w:rFonts w:ascii="Garamond" w:hAnsi="Garamond"/>
          <w:sz w:val="24"/>
          <w:szCs w:val="24"/>
        </w:rPr>
        <w:t xml:space="preserve"> i cili ka një dimension, ngjyrë ose strukturë, e cila është qartësisht e dallueshme nga indet e peshkut.</w:t>
      </w:r>
    </w:p>
    <w:p w:rsidR="00CB4BDE" w:rsidRPr="00A64DAD" w:rsidRDefault="00CB4BDE" w:rsidP="00CB4BDE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A64DAD">
        <w:rPr>
          <w:rFonts w:ascii="Garamond" w:hAnsi="Garamond"/>
          <w:sz w:val="24"/>
          <w:szCs w:val="24"/>
        </w:rPr>
        <w:t xml:space="preserve">2. “Inspektimi vizual” nënkupton ekzaminimin joshkatërrues të peshkut ose </w:t>
      </w:r>
      <w:r w:rsidR="00E74E54" w:rsidRPr="00A64DAD">
        <w:rPr>
          <w:rFonts w:ascii="Garamond" w:hAnsi="Garamond"/>
          <w:sz w:val="24"/>
          <w:szCs w:val="24"/>
        </w:rPr>
        <w:t xml:space="preserve">të </w:t>
      </w:r>
      <w:r w:rsidRPr="00A64DAD">
        <w:rPr>
          <w:rFonts w:ascii="Garamond" w:hAnsi="Garamond"/>
          <w:sz w:val="24"/>
          <w:szCs w:val="24"/>
        </w:rPr>
        <w:t>produkteve të peshkut</w:t>
      </w:r>
      <w:r w:rsidR="00E74E54" w:rsidRPr="00A64DAD">
        <w:rPr>
          <w:rFonts w:ascii="Garamond" w:hAnsi="Garamond"/>
          <w:sz w:val="24"/>
          <w:szCs w:val="24"/>
        </w:rPr>
        <w:t>,</w:t>
      </w:r>
      <w:r w:rsidRPr="00A64DAD">
        <w:rPr>
          <w:rFonts w:ascii="Garamond" w:hAnsi="Garamond"/>
          <w:sz w:val="24"/>
          <w:szCs w:val="24"/>
        </w:rPr>
        <w:t xml:space="preserve"> me ose pa mjete optike zmadhimi dhe nën kushte të mira të dritës për shikimin e njeriut, duke përfshirë, nëse është e nevojshme, edhe ndriçimin.</w:t>
      </w:r>
    </w:p>
    <w:p w:rsidR="00CB4BDE" w:rsidRPr="00A64DAD" w:rsidRDefault="00CB4BDE" w:rsidP="00CB4BDE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A64DAD">
        <w:rPr>
          <w:rFonts w:ascii="Garamond" w:hAnsi="Garamond"/>
          <w:sz w:val="24"/>
          <w:szCs w:val="24"/>
        </w:rPr>
        <w:t>3. “Ndriçimi” do të thotë, në lidhje me peshqit e rrafshët ose filetot e peshkut, të mbahet peshku në dritë në një dhomë të errët për të zbuluar parazitët.</w:t>
      </w:r>
    </w:p>
    <w:p w:rsidR="00CB4BDE" w:rsidRPr="00A64DAD" w:rsidRDefault="00CB4BDE" w:rsidP="00CB4BDE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</w:p>
    <w:p w:rsidR="00CB4BDE" w:rsidRPr="00A64DAD" w:rsidRDefault="00CB4BDE" w:rsidP="00CB4BDE">
      <w:pPr>
        <w:pStyle w:val="nENINR"/>
      </w:pPr>
      <w:r w:rsidRPr="00A64DAD">
        <w:t>KAPITULLI II</w:t>
      </w:r>
    </w:p>
    <w:p w:rsidR="00CB4BDE" w:rsidRPr="00A64DAD" w:rsidRDefault="00CB4BDE" w:rsidP="00CB4BDE">
      <w:pPr>
        <w:pStyle w:val="nENINR"/>
      </w:pPr>
      <w:r w:rsidRPr="00A64DAD">
        <w:t>INSPEKTIMET VIZUALE</w:t>
      </w:r>
    </w:p>
    <w:p w:rsidR="00CB4BDE" w:rsidRPr="00A64DAD" w:rsidRDefault="00CB4BDE" w:rsidP="00CB4BDE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</w:p>
    <w:p w:rsidR="00CB4BDE" w:rsidRPr="00A64DAD" w:rsidRDefault="00CB4BDE" w:rsidP="00CB4BDE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A64DAD">
        <w:rPr>
          <w:rFonts w:ascii="Garamond" w:hAnsi="Garamond"/>
          <w:sz w:val="24"/>
          <w:szCs w:val="24"/>
        </w:rPr>
        <w:t>1. Inspektimi vizual kryhet në një numër përfaqësues të mostrave. Personat përgjegjës të stabilimenteve në tokë dhe personat e kualifikuar në stabilimentin në bordin e anijes duhet të përcaktojnë shkallën dhe shpeshtësinë e inspektimeve duke iu referuar llojit të produkteve të peshkimit, origjinës së tyre gjeografike dhe përdorimit të tyre. Gjatë prodhimit, inspekti</w:t>
      </w:r>
      <w:r w:rsidR="00BA676A" w:rsidRPr="00A64DAD">
        <w:rPr>
          <w:rFonts w:ascii="Garamond" w:hAnsi="Garamond"/>
          <w:sz w:val="24"/>
          <w:szCs w:val="24"/>
        </w:rPr>
        <w:t>mi vizual i peshqve, të cilëve i</w:t>
      </w:r>
      <w:r w:rsidRPr="00A64DAD">
        <w:rPr>
          <w:rFonts w:ascii="Garamond" w:hAnsi="Garamond"/>
          <w:sz w:val="24"/>
          <w:szCs w:val="24"/>
        </w:rPr>
        <w:t>u janë hequr organet e brendshme në zgavrën e barkut dhe mëlçi dhe vezët e destinuara për konsum njerëzor, duhet të bëhet nga persona të kualifikuar. Në varësi të sistemit të përdorur për heqjen e organeve të brendshme, inspektimi vizual duhet të bëhet:</w:t>
      </w:r>
    </w:p>
    <w:p w:rsidR="00CB4BDE" w:rsidRPr="00A64DAD" w:rsidRDefault="00CB4BDE" w:rsidP="00CB4BDE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A64DAD">
        <w:rPr>
          <w:rFonts w:ascii="Garamond" w:hAnsi="Garamond"/>
          <w:sz w:val="24"/>
          <w:szCs w:val="24"/>
        </w:rPr>
        <w:t>a) në rastet e heqjes me dorë të organeve të brendshme, në mënyrë të vazhdueshme nga ana e mbajtësit në kohën e heqjes dhe larjes;</w:t>
      </w:r>
    </w:p>
    <w:p w:rsidR="00CB4BDE" w:rsidRPr="00A64DAD" w:rsidRDefault="00CB4BDE" w:rsidP="00CB4BDE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A64DAD">
        <w:rPr>
          <w:rFonts w:ascii="Garamond" w:hAnsi="Garamond"/>
          <w:sz w:val="24"/>
          <w:szCs w:val="24"/>
        </w:rPr>
        <w:t>b) në rast të heqjes në mënyrë mekanike të organeve të brendshme, me marrjen e mostrave të kryera në një numër përfaqësues të mostrave</w:t>
      </w:r>
      <w:r w:rsidR="00150D74" w:rsidRPr="00A64DAD">
        <w:rPr>
          <w:rFonts w:ascii="Garamond" w:hAnsi="Garamond"/>
          <w:sz w:val="24"/>
          <w:szCs w:val="24"/>
        </w:rPr>
        <w:t>,</w:t>
      </w:r>
      <w:r w:rsidRPr="00A64DAD">
        <w:rPr>
          <w:rFonts w:ascii="Garamond" w:hAnsi="Garamond"/>
          <w:sz w:val="24"/>
          <w:szCs w:val="24"/>
        </w:rPr>
        <w:t xml:space="preserve"> që janë jo më pak se 10 peshq për grumbull.</w:t>
      </w:r>
    </w:p>
    <w:p w:rsidR="00CB4BDE" w:rsidRPr="00A64DAD" w:rsidRDefault="00CB4BDE" w:rsidP="00CB4BDE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A64DAD">
        <w:rPr>
          <w:rFonts w:ascii="Garamond" w:hAnsi="Garamond"/>
          <w:sz w:val="24"/>
          <w:szCs w:val="24"/>
        </w:rPr>
        <w:t xml:space="preserve">2. Inspektimi vizual i filetove të peshkut ose </w:t>
      </w:r>
      <w:r w:rsidR="00150D74" w:rsidRPr="00A64DAD">
        <w:rPr>
          <w:rFonts w:ascii="Garamond" w:hAnsi="Garamond"/>
          <w:sz w:val="24"/>
          <w:szCs w:val="24"/>
        </w:rPr>
        <w:t xml:space="preserve">i </w:t>
      </w:r>
      <w:r w:rsidRPr="00A64DAD">
        <w:rPr>
          <w:rFonts w:ascii="Garamond" w:hAnsi="Garamond"/>
          <w:sz w:val="24"/>
          <w:szCs w:val="24"/>
        </w:rPr>
        <w:t>fetave të peshkut gjatë zvogëlimit dhe pas filetimit ose prerjes në feta, duhet të bëhet nga persona të kualifikuar. Kur një ekzaminim individual nuk është i mundur</w:t>
      </w:r>
      <w:r w:rsidR="00150D74" w:rsidRPr="00A64DAD">
        <w:rPr>
          <w:rFonts w:ascii="Garamond" w:hAnsi="Garamond"/>
          <w:sz w:val="24"/>
          <w:szCs w:val="24"/>
        </w:rPr>
        <w:t>,</w:t>
      </w:r>
      <w:r w:rsidRPr="00A64DAD">
        <w:rPr>
          <w:rFonts w:ascii="Garamond" w:hAnsi="Garamond"/>
          <w:sz w:val="24"/>
          <w:szCs w:val="24"/>
        </w:rPr>
        <w:t xml:space="preserve"> për shkak të madhësisë së filetove ose operacioneve të filetimit, duhet të hartohet një plan për marrjen e mostrave dhe të mbahet në dispozicion për AKU-në, në përputhje me </w:t>
      </w:r>
      <w:r w:rsidR="00023B10" w:rsidRPr="00A64DAD">
        <w:rPr>
          <w:rFonts w:ascii="Garamond" w:hAnsi="Garamond"/>
          <w:sz w:val="24"/>
          <w:szCs w:val="24"/>
        </w:rPr>
        <w:t xml:space="preserve">kreun </w:t>
      </w:r>
      <w:r w:rsidRPr="00A64DAD">
        <w:rPr>
          <w:rFonts w:ascii="Garamond" w:hAnsi="Garamond"/>
          <w:sz w:val="24"/>
          <w:szCs w:val="24"/>
        </w:rPr>
        <w:t>III</w:t>
      </w:r>
      <w:r w:rsidR="00023B10" w:rsidRPr="00A64DAD">
        <w:rPr>
          <w:rFonts w:ascii="Garamond" w:hAnsi="Garamond"/>
          <w:sz w:val="24"/>
          <w:szCs w:val="24"/>
        </w:rPr>
        <w:t>,</w:t>
      </w:r>
      <w:r w:rsidRPr="00A64DAD">
        <w:rPr>
          <w:rFonts w:ascii="Garamond" w:hAnsi="Garamond"/>
          <w:sz w:val="24"/>
          <w:szCs w:val="24"/>
        </w:rPr>
        <w:t xml:space="preserve"> “Kontrollet zyrtare në lidhje me molusqet e gjalla bivalvore dhe produktet e peshkimit” të </w:t>
      </w:r>
      <w:r w:rsidR="00023B10" w:rsidRPr="00A64DAD">
        <w:rPr>
          <w:rFonts w:ascii="Garamond" w:hAnsi="Garamond"/>
          <w:sz w:val="24"/>
          <w:szCs w:val="24"/>
        </w:rPr>
        <w:t xml:space="preserve">udhëzimit </w:t>
      </w:r>
      <w:r w:rsidRPr="00A64DAD">
        <w:rPr>
          <w:rFonts w:ascii="Garamond" w:hAnsi="Garamond"/>
          <w:sz w:val="24"/>
          <w:szCs w:val="24"/>
        </w:rPr>
        <w:t>nr. 25, datë 25.11.2010</w:t>
      </w:r>
      <w:r w:rsidR="00023B10" w:rsidRPr="00A64DAD">
        <w:rPr>
          <w:rFonts w:ascii="Garamond" w:hAnsi="Garamond"/>
          <w:sz w:val="24"/>
          <w:szCs w:val="24"/>
        </w:rPr>
        <w:t>,</w:t>
      </w:r>
      <w:r w:rsidRPr="00A64DAD">
        <w:rPr>
          <w:rFonts w:ascii="Garamond" w:hAnsi="Garamond"/>
          <w:sz w:val="24"/>
          <w:szCs w:val="24"/>
        </w:rPr>
        <w:t xml:space="preserve"> “Për kushtet higjienike dhe kontrollet për molusqet e gjalla dhe bivalvore, peshkun dhe produktet e peshkimit”. Kur ndriçimi i filetove është i nevojshëm nga pikëpamja teknike, ai duhet të përfshihet në planin e marrjes së mostrave.</w:t>
      </w:r>
    </w:p>
    <w:p w:rsidR="00CB4BDE" w:rsidRPr="00A64DAD" w:rsidRDefault="00CB4BDE" w:rsidP="00CB4BDE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</w:p>
    <w:p w:rsidR="00CB4BDE" w:rsidRPr="00A64DAD" w:rsidRDefault="00CB4BDE" w:rsidP="00CB4BDE">
      <w:pPr>
        <w:pStyle w:val="nENINR"/>
      </w:pPr>
      <w:r w:rsidRPr="00A64DAD">
        <w:t>SHTOJCA III</w:t>
      </w:r>
    </w:p>
    <w:p w:rsidR="00CB4BDE" w:rsidRPr="00A64DAD" w:rsidRDefault="00CB4BDE" w:rsidP="00CB4BDE">
      <w:pPr>
        <w:pStyle w:val="nENINR"/>
      </w:pPr>
      <w:r w:rsidRPr="00A64DAD">
        <w:t>PËRMBAJTJA E KALCIUMIT TË MISHIT TË NDARË MEKANIKISHT</w:t>
      </w:r>
    </w:p>
    <w:p w:rsidR="00CB4BDE" w:rsidRPr="00A64DAD" w:rsidRDefault="00CB4BDE" w:rsidP="00CB4BDE">
      <w:pPr>
        <w:pStyle w:val="nENINR"/>
      </w:pPr>
    </w:p>
    <w:p w:rsidR="00CB4BDE" w:rsidRPr="00A64DAD" w:rsidRDefault="00CB4BDE" w:rsidP="00CB4BDE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A64DAD">
        <w:rPr>
          <w:rFonts w:ascii="Garamond" w:hAnsi="Garamond"/>
          <w:sz w:val="24"/>
          <w:szCs w:val="24"/>
        </w:rPr>
        <w:t>Përmbajtja e kalciumit në mishin e ndarë në mënyrë mekanike duhet:</w:t>
      </w:r>
    </w:p>
    <w:p w:rsidR="00CB4BDE" w:rsidRPr="00A64DAD" w:rsidRDefault="00CB4BDE" w:rsidP="00CB4BDE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A64DAD">
        <w:rPr>
          <w:rFonts w:ascii="Garamond" w:hAnsi="Garamond"/>
          <w:sz w:val="24"/>
          <w:szCs w:val="24"/>
        </w:rPr>
        <w:t>1. Të mos kalojë 0,1% (= 100 mg / 100 g ose 1 000 ppm) të produktit të freskët.</w:t>
      </w:r>
    </w:p>
    <w:p w:rsidR="00CB4BDE" w:rsidRPr="00A64DAD" w:rsidRDefault="00CB4BDE" w:rsidP="00CB4BDE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A64DAD">
        <w:rPr>
          <w:rFonts w:ascii="Garamond" w:hAnsi="Garamond"/>
          <w:sz w:val="24"/>
          <w:szCs w:val="24"/>
        </w:rPr>
        <w:t>2. Të përcaktohet me një metodë të standardizuar ndërkombëtare.</w:t>
      </w:r>
    </w:p>
    <w:p w:rsidR="00CB4BDE" w:rsidRPr="00A64DAD" w:rsidRDefault="00CB4BDE" w:rsidP="00CB4BDE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</w:p>
    <w:p w:rsidR="00CB4BDE" w:rsidRPr="00A64DAD" w:rsidRDefault="00CB4BDE" w:rsidP="00CB4BDE">
      <w:pPr>
        <w:pStyle w:val="nENINR"/>
      </w:pPr>
      <w:r w:rsidRPr="00A64DAD">
        <w:t xml:space="preserve">SHTOJCA IV </w:t>
      </w:r>
    </w:p>
    <w:p w:rsidR="00CB4BDE" w:rsidRPr="00A64DAD" w:rsidRDefault="00CB4BDE" w:rsidP="00CB4BDE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</w:p>
    <w:p w:rsidR="009E4083" w:rsidRPr="00A64DAD" w:rsidRDefault="009E4083" w:rsidP="00CB4BDE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A64DAD">
        <w:rPr>
          <w:rFonts w:ascii="Garamond" w:hAnsi="Garamond"/>
          <w:sz w:val="24"/>
          <w:szCs w:val="24"/>
        </w:rPr>
        <w:t>1. Pjesa II,</w:t>
      </w:r>
      <w:r w:rsidR="00CB4BDE" w:rsidRPr="00A64DAD">
        <w:rPr>
          <w:rFonts w:ascii="Garamond" w:hAnsi="Garamond"/>
          <w:sz w:val="24"/>
          <w:szCs w:val="24"/>
        </w:rPr>
        <w:t xml:space="preserve"> “Kërkesat specifike të higjienës për operatorin e biznesit ushqimor”, B</w:t>
      </w:r>
      <w:r w:rsidRPr="00A64DAD">
        <w:rPr>
          <w:rFonts w:ascii="Garamond" w:hAnsi="Garamond"/>
          <w:sz w:val="24"/>
          <w:szCs w:val="24"/>
        </w:rPr>
        <w:t>,</w:t>
      </w:r>
      <w:r w:rsidR="00CB4BDE" w:rsidRPr="00A64DAD">
        <w:rPr>
          <w:rFonts w:ascii="Garamond" w:hAnsi="Garamond"/>
          <w:sz w:val="24"/>
          <w:szCs w:val="24"/>
        </w:rPr>
        <w:t xml:space="preserve"> “Mishi i thundrakëve shtëpiakë”, pika 14, e </w:t>
      </w:r>
      <w:r w:rsidRPr="00A64DAD">
        <w:rPr>
          <w:rFonts w:ascii="Garamond" w:hAnsi="Garamond"/>
          <w:sz w:val="24"/>
          <w:szCs w:val="24"/>
        </w:rPr>
        <w:t xml:space="preserve">udhëzimit </w:t>
      </w:r>
      <w:r w:rsidR="00CB4BDE" w:rsidRPr="00A64DAD">
        <w:rPr>
          <w:rFonts w:ascii="Garamond" w:hAnsi="Garamond"/>
          <w:sz w:val="24"/>
          <w:szCs w:val="24"/>
        </w:rPr>
        <w:t>nr. 23, datë 25.11.2010</w:t>
      </w:r>
      <w:r w:rsidRPr="00A64DAD">
        <w:rPr>
          <w:rFonts w:ascii="Garamond" w:hAnsi="Garamond"/>
          <w:sz w:val="24"/>
          <w:szCs w:val="24"/>
        </w:rPr>
        <w:t>,</w:t>
      </w:r>
      <w:r w:rsidR="00CB4BDE" w:rsidRPr="00A64DAD">
        <w:rPr>
          <w:rFonts w:ascii="Garamond" w:hAnsi="Garamond"/>
          <w:sz w:val="24"/>
          <w:szCs w:val="24"/>
        </w:rPr>
        <w:t xml:space="preserve"> “Për kërkesat specifike të higjienës për mishin dhe produktet e mishit, duke përfshirë produktet e mishit, mishin e grirë dhe mishin e ndarë në mënyrë mekanike”, është ndryshuar si më poshtë: </w:t>
      </w:r>
    </w:p>
    <w:p w:rsidR="00CB4BDE" w:rsidRPr="00A64DAD" w:rsidRDefault="00CB4BDE" w:rsidP="00CB4BDE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A64DAD">
        <w:rPr>
          <w:rFonts w:ascii="Garamond" w:hAnsi="Garamond"/>
          <w:sz w:val="24"/>
          <w:szCs w:val="24"/>
        </w:rPr>
        <w:t>“Karkasat dhe pjesët e tjera të trupit, të destinuara për konsum njerëzor rripen plotësisht, me përjashtim të rastit të kafshëve të familjes së derrit, kokës së dhenve, të dhive dhe të viçave</w:t>
      </w:r>
      <w:r w:rsidR="009E4083" w:rsidRPr="00A64DAD">
        <w:rPr>
          <w:rFonts w:ascii="Garamond" w:hAnsi="Garamond"/>
          <w:sz w:val="24"/>
          <w:szCs w:val="24"/>
        </w:rPr>
        <w:t>,</w:t>
      </w:r>
      <w:r w:rsidRPr="00A64DAD">
        <w:rPr>
          <w:rFonts w:ascii="Garamond" w:hAnsi="Garamond"/>
          <w:sz w:val="24"/>
          <w:szCs w:val="24"/>
        </w:rPr>
        <w:t xml:space="preserve"> si dhe këmbëve të gjedhëve, dhenve e dhive. Koka dhe këmbët duhet të trajtohen në mënyrë që të shmanget kontaminimi</w:t>
      </w:r>
      <w:r w:rsidR="009E4083" w:rsidRPr="00A64DAD">
        <w:rPr>
          <w:rFonts w:ascii="Garamond" w:hAnsi="Garamond"/>
          <w:sz w:val="24"/>
          <w:szCs w:val="24"/>
        </w:rPr>
        <w:t>.</w:t>
      </w:r>
      <w:r w:rsidRPr="00A64DAD">
        <w:rPr>
          <w:rFonts w:ascii="Garamond" w:hAnsi="Garamond"/>
          <w:sz w:val="24"/>
          <w:szCs w:val="24"/>
        </w:rPr>
        <w:t>”.</w:t>
      </w:r>
    </w:p>
    <w:p w:rsidR="009E4083" w:rsidRPr="00A64DAD" w:rsidRDefault="00CB4BDE" w:rsidP="00CB4BDE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A64DAD">
        <w:rPr>
          <w:rFonts w:ascii="Garamond" w:hAnsi="Garamond"/>
          <w:sz w:val="24"/>
          <w:szCs w:val="24"/>
        </w:rPr>
        <w:t>2. Në pjesën C</w:t>
      </w:r>
      <w:r w:rsidR="009E4083" w:rsidRPr="00A64DAD">
        <w:rPr>
          <w:rFonts w:ascii="Garamond" w:hAnsi="Garamond"/>
          <w:sz w:val="24"/>
          <w:szCs w:val="24"/>
        </w:rPr>
        <w:t>,</w:t>
      </w:r>
      <w:r w:rsidRPr="00A64DAD">
        <w:rPr>
          <w:rFonts w:ascii="Garamond" w:hAnsi="Garamond"/>
          <w:sz w:val="24"/>
          <w:szCs w:val="24"/>
        </w:rPr>
        <w:t xml:space="preserve"> “Mishi i shpendëve dhe lagomorfëve”, të </w:t>
      </w:r>
      <w:r w:rsidR="009E4083" w:rsidRPr="00A64DAD">
        <w:rPr>
          <w:rFonts w:ascii="Garamond" w:hAnsi="Garamond"/>
          <w:sz w:val="24"/>
          <w:szCs w:val="24"/>
        </w:rPr>
        <w:t xml:space="preserve">udhëzimit </w:t>
      </w:r>
      <w:r w:rsidRPr="00A64DAD">
        <w:rPr>
          <w:rFonts w:ascii="Garamond" w:hAnsi="Garamond"/>
          <w:sz w:val="24"/>
          <w:szCs w:val="24"/>
        </w:rPr>
        <w:t>nr. 23, datë 25.11.2010</w:t>
      </w:r>
      <w:r w:rsidR="009E4083" w:rsidRPr="00A64DAD">
        <w:rPr>
          <w:rFonts w:ascii="Garamond" w:hAnsi="Garamond"/>
          <w:sz w:val="24"/>
          <w:szCs w:val="24"/>
        </w:rPr>
        <w:t>,</w:t>
      </w:r>
      <w:r w:rsidRPr="00A64DAD">
        <w:rPr>
          <w:rFonts w:ascii="Garamond" w:hAnsi="Garamond"/>
          <w:sz w:val="24"/>
          <w:szCs w:val="24"/>
        </w:rPr>
        <w:t xml:space="preserve"> “Për kërkesat specifike të higjienës për mishin dhe produktet e mishit, duke përfshirë produktet e mishit, mishin e grirë dhe mishin e ndarë në mënyrë mekanike”</w:t>
      </w:r>
      <w:r w:rsidR="009E4083" w:rsidRPr="00A64DAD">
        <w:rPr>
          <w:rFonts w:ascii="Garamond" w:hAnsi="Garamond"/>
          <w:sz w:val="24"/>
          <w:szCs w:val="24"/>
        </w:rPr>
        <w:t xml:space="preserve">, </w:t>
      </w:r>
      <w:r w:rsidRPr="00A64DAD">
        <w:rPr>
          <w:rFonts w:ascii="Garamond" w:hAnsi="Garamond"/>
          <w:sz w:val="24"/>
          <w:szCs w:val="24"/>
        </w:rPr>
        <w:t xml:space="preserve">është shtuar: </w:t>
      </w:r>
    </w:p>
    <w:p w:rsidR="00CB4BDE" w:rsidRPr="00A64DAD" w:rsidRDefault="00CB4BDE" w:rsidP="00CB4BDE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A64DAD">
        <w:rPr>
          <w:rFonts w:ascii="Garamond" w:hAnsi="Garamond"/>
          <w:sz w:val="24"/>
          <w:szCs w:val="24"/>
        </w:rPr>
        <w:t>“Operatorët e biznesit ushqimor sigurojnë që mishi i shpendëve që është trajtuar posaçërisht për të promovuar mbajtjen e ujit nuk vendoset në treg si mish i freskët, por si përgatitje mishi ose përdoret për prodhimin e produkteve të përpunuara</w:t>
      </w:r>
      <w:r w:rsidR="009E4083" w:rsidRPr="00A64DAD">
        <w:rPr>
          <w:rFonts w:ascii="Garamond" w:hAnsi="Garamond"/>
          <w:sz w:val="24"/>
          <w:szCs w:val="24"/>
        </w:rPr>
        <w:t>.</w:t>
      </w:r>
      <w:r w:rsidRPr="00A64DAD">
        <w:rPr>
          <w:rFonts w:ascii="Garamond" w:hAnsi="Garamond"/>
          <w:sz w:val="24"/>
          <w:szCs w:val="24"/>
        </w:rPr>
        <w:t>”.</w:t>
      </w:r>
    </w:p>
    <w:p w:rsidR="00150A13" w:rsidRPr="00A64DAD" w:rsidRDefault="00CB4BDE" w:rsidP="00CB4BDE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A64DAD">
        <w:rPr>
          <w:rFonts w:ascii="Garamond" w:hAnsi="Garamond"/>
          <w:sz w:val="24"/>
          <w:szCs w:val="24"/>
        </w:rPr>
        <w:t xml:space="preserve">3. Kontrolli zyrtar i prodhimit dhe </w:t>
      </w:r>
      <w:r w:rsidR="00150A13" w:rsidRPr="00A64DAD">
        <w:rPr>
          <w:rFonts w:ascii="Garamond" w:hAnsi="Garamond"/>
          <w:sz w:val="24"/>
          <w:szCs w:val="24"/>
        </w:rPr>
        <w:t xml:space="preserve">i </w:t>
      </w:r>
      <w:r w:rsidRPr="00A64DAD">
        <w:rPr>
          <w:rFonts w:ascii="Garamond" w:hAnsi="Garamond"/>
          <w:sz w:val="24"/>
          <w:szCs w:val="24"/>
        </w:rPr>
        <w:t>nxjerrjes në treg të produkteve të peshkimit, shkronja “g”, pikat “i”, “ii”</w:t>
      </w:r>
      <w:r w:rsidR="00150A13" w:rsidRPr="00A64DAD">
        <w:rPr>
          <w:rFonts w:ascii="Garamond" w:hAnsi="Garamond"/>
          <w:sz w:val="24"/>
          <w:szCs w:val="24"/>
        </w:rPr>
        <w:t>,</w:t>
      </w:r>
      <w:r w:rsidRPr="00A64DAD">
        <w:rPr>
          <w:rFonts w:ascii="Garamond" w:hAnsi="Garamond"/>
          <w:sz w:val="24"/>
          <w:szCs w:val="24"/>
        </w:rPr>
        <w:t xml:space="preserve"> të </w:t>
      </w:r>
      <w:r w:rsidR="00150A13" w:rsidRPr="00A64DAD">
        <w:rPr>
          <w:rFonts w:ascii="Garamond" w:hAnsi="Garamond"/>
          <w:sz w:val="24"/>
          <w:szCs w:val="24"/>
        </w:rPr>
        <w:t xml:space="preserve">udhëzimit </w:t>
      </w:r>
      <w:r w:rsidRPr="00A64DAD">
        <w:rPr>
          <w:rFonts w:ascii="Garamond" w:hAnsi="Garamond"/>
          <w:sz w:val="24"/>
          <w:szCs w:val="24"/>
        </w:rPr>
        <w:t>nr. 25, datë 25.11.2010</w:t>
      </w:r>
      <w:bookmarkStart w:id="0" w:name="_Hlk50287508"/>
      <w:bookmarkStart w:id="1" w:name="_Hlk50285154"/>
      <w:r w:rsidR="00150A13" w:rsidRPr="00A64DAD">
        <w:rPr>
          <w:rFonts w:ascii="Garamond" w:hAnsi="Garamond"/>
          <w:sz w:val="24"/>
          <w:szCs w:val="24"/>
        </w:rPr>
        <w:t>,</w:t>
      </w:r>
      <w:r w:rsidRPr="00A64DAD">
        <w:rPr>
          <w:rFonts w:ascii="Garamond" w:hAnsi="Garamond"/>
          <w:sz w:val="24"/>
          <w:szCs w:val="24"/>
        </w:rPr>
        <w:t xml:space="preserve"> “Për </w:t>
      </w:r>
      <w:bookmarkEnd w:id="0"/>
      <w:r w:rsidRPr="00A64DAD">
        <w:rPr>
          <w:rFonts w:ascii="Garamond" w:hAnsi="Garamond"/>
          <w:sz w:val="24"/>
          <w:szCs w:val="24"/>
        </w:rPr>
        <w:t>kushtet higjienike dhe kontrollet për molusqet e gjalla bivalvore, peshkun dhe produktet e peshkimit” është zëvendësuar si më poshtë:</w:t>
      </w:r>
      <w:bookmarkEnd w:id="1"/>
      <w:r w:rsidRPr="00A64DAD">
        <w:rPr>
          <w:rFonts w:ascii="Garamond" w:hAnsi="Garamond"/>
          <w:sz w:val="24"/>
          <w:szCs w:val="24"/>
        </w:rPr>
        <w:t xml:space="preserve"> </w:t>
      </w:r>
    </w:p>
    <w:p w:rsidR="00CB4BDE" w:rsidRPr="00A64DAD" w:rsidRDefault="00CB4BDE" w:rsidP="00CB4BDE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A64DAD">
        <w:rPr>
          <w:rFonts w:ascii="Garamond" w:hAnsi="Garamond"/>
          <w:sz w:val="24"/>
          <w:szCs w:val="24"/>
        </w:rPr>
        <w:t>“Produktet e peshkut që rrjedhin nga peshq helmues të familjeve</w:t>
      </w:r>
      <w:r w:rsidR="00150A13" w:rsidRPr="00A64DAD">
        <w:rPr>
          <w:rFonts w:ascii="Garamond" w:hAnsi="Garamond"/>
          <w:sz w:val="24"/>
          <w:szCs w:val="24"/>
        </w:rPr>
        <w:t>:</w:t>
      </w:r>
      <w:r w:rsidRPr="00A64DAD">
        <w:rPr>
          <w:rFonts w:ascii="Garamond" w:hAnsi="Garamond"/>
          <w:sz w:val="24"/>
          <w:szCs w:val="24"/>
        </w:rPr>
        <w:t xml:space="preserve"> </w:t>
      </w:r>
      <w:r w:rsidRPr="00A64DAD">
        <w:rPr>
          <w:rFonts w:ascii="Garamond" w:hAnsi="Garamond"/>
          <w:i/>
          <w:sz w:val="24"/>
          <w:szCs w:val="24"/>
        </w:rPr>
        <w:t>Tetraodontidae</w:t>
      </w:r>
      <w:r w:rsidRPr="00A64DAD">
        <w:rPr>
          <w:rFonts w:ascii="Garamond" w:hAnsi="Garamond"/>
          <w:sz w:val="24"/>
          <w:szCs w:val="24"/>
        </w:rPr>
        <w:t xml:space="preserve">, </w:t>
      </w:r>
      <w:r w:rsidRPr="00A64DAD">
        <w:rPr>
          <w:rFonts w:ascii="Garamond" w:hAnsi="Garamond"/>
          <w:i/>
          <w:sz w:val="24"/>
          <w:szCs w:val="24"/>
        </w:rPr>
        <w:t>Molidae</w:t>
      </w:r>
      <w:r w:rsidRPr="00A64DAD">
        <w:rPr>
          <w:rFonts w:ascii="Garamond" w:hAnsi="Garamond"/>
          <w:sz w:val="24"/>
          <w:szCs w:val="24"/>
        </w:rPr>
        <w:t xml:space="preserve">, </w:t>
      </w:r>
      <w:r w:rsidRPr="00A64DAD">
        <w:rPr>
          <w:rFonts w:ascii="Garamond" w:hAnsi="Garamond"/>
          <w:i/>
          <w:sz w:val="24"/>
          <w:szCs w:val="24"/>
        </w:rPr>
        <w:t>Diodontidae</w:t>
      </w:r>
      <w:r w:rsidRPr="00A64DAD">
        <w:rPr>
          <w:rFonts w:ascii="Garamond" w:hAnsi="Garamond"/>
          <w:sz w:val="24"/>
          <w:szCs w:val="24"/>
        </w:rPr>
        <w:t xml:space="preserve"> dhe </w:t>
      </w:r>
      <w:r w:rsidRPr="00A64DAD">
        <w:rPr>
          <w:rFonts w:ascii="Garamond" w:hAnsi="Garamond"/>
          <w:i/>
          <w:sz w:val="24"/>
          <w:szCs w:val="24"/>
        </w:rPr>
        <w:t>Canthigasteridae</w:t>
      </w:r>
      <w:r w:rsidRPr="00A64DAD">
        <w:rPr>
          <w:rFonts w:ascii="Garamond" w:hAnsi="Garamond"/>
          <w:sz w:val="24"/>
          <w:szCs w:val="24"/>
        </w:rPr>
        <w:t xml:space="preserve">, nuk duhet të vendosen në treg. Produkte të freskëta, të përgatitura dhe të përpunuara të peshkimit që i përkasin familjes </w:t>
      </w:r>
      <w:r w:rsidRPr="00A64DAD">
        <w:rPr>
          <w:rFonts w:ascii="Garamond" w:hAnsi="Garamond"/>
          <w:i/>
          <w:sz w:val="24"/>
          <w:szCs w:val="24"/>
        </w:rPr>
        <w:t>Gempylidae</w:t>
      </w:r>
      <w:r w:rsidRPr="00A64DAD">
        <w:rPr>
          <w:rFonts w:ascii="Garamond" w:hAnsi="Garamond"/>
          <w:sz w:val="24"/>
          <w:szCs w:val="24"/>
        </w:rPr>
        <w:t xml:space="preserve">, në veçanti </w:t>
      </w:r>
      <w:r w:rsidRPr="00A64DAD">
        <w:rPr>
          <w:rFonts w:ascii="Garamond" w:hAnsi="Garamond"/>
          <w:i/>
          <w:sz w:val="24"/>
          <w:szCs w:val="24"/>
        </w:rPr>
        <w:t>Ruvettus pretiosus</w:t>
      </w:r>
      <w:r w:rsidRPr="00A64DAD">
        <w:rPr>
          <w:rFonts w:ascii="Garamond" w:hAnsi="Garamond"/>
          <w:sz w:val="24"/>
          <w:szCs w:val="24"/>
        </w:rPr>
        <w:t xml:space="preserve"> dhe </w:t>
      </w:r>
      <w:r w:rsidRPr="00A64DAD">
        <w:rPr>
          <w:rFonts w:ascii="Garamond" w:hAnsi="Garamond"/>
          <w:i/>
          <w:sz w:val="24"/>
          <w:szCs w:val="24"/>
        </w:rPr>
        <w:t>Lepidocybium flavobrunneum</w:t>
      </w:r>
      <w:r w:rsidRPr="00A64DAD">
        <w:rPr>
          <w:rFonts w:ascii="Garamond" w:hAnsi="Garamond"/>
          <w:sz w:val="24"/>
          <w:szCs w:val="24"/>
        </w:rPr>
        <w:t>, mund të vendosen në treg vetëm në formë të mbështjell</w:t>
      </w:r>
      <w:r w:rsidR="00150A13" w:rsidRPr="00A64DAD">
        <w:rPr>
          <w:rFonts w:ascii="Garamond" w:hAnsi="Garamond"/>
          <w:sz w:val="24"/>
          <w:szCs w:val="24"/>
        </w:rPr>
        <w:t>ë</w:t>
      </w:r>
      <w:r w:rsidRPr="00A64DAD">
        <w:rPr>
          <w:rFonts w:ascii="Garamond" w:hAnsi="Garamond"/>
          <w:sz w:val="24"/>
          <w:szCs w:val="24"/>
        </w:rPr>
        <w:t>/paketuar dhe duhet të etiketohen</w:t>
      </w:r>
      <w:r w:rsidR="00150A13" w:rsidRPr="00A64DAD">
        <w:rPr>
          <w:rFonts w:ascii="Garamond" w:hAnsi="Garamond"/>
          <w:sz w:val="24"/>
          <w:szCs w:val="24"/>
        </w:rPr>
        <w:t>,</w:t>
      </w:r>
      <w:r w:rsidRPr="00A64DAD">
        <w:rPr>
          <w:rFonts w:ascii="Garamond" w:hAnsi="Garamond"/>
          <w:sz w:val="24"/>
          <w:szCs w:val="24"/>
        </w:rPr>
        <w:t xml:space="preserve"> siç duhet për të siguruar informacionin te konsumatori për metodat e përgatitjes/gatimit dhe mbi rrezikun që lidhet me praninë e substancave me efekte të dëmshme gastrointestinale. Emri shkencor duhet të shoqërojë emrin e zakonshëm në etiketë</w:t>
      </w:r>
      <w:r w:rsidR="00862D63" w:rsidRPr="00A64DAD">
        <w:rPr>
          <w:rFonts w:ascii="Garamond" w:hAnsi="Garamond"/>
          <w:sz w:val="24"/>
          <w:szCs w:val="24"/>
        </w:rPr>
        <w:t>.</w:t>
      </w:r>
      <w:r w:rsidRPr="00A64DAD">
        <w:rPr>
          <w:rFonts w:ascii="Garamond" w:hAnsi="Garamond"/>
          <w:sz w:val="24"/>
          <w:szCs w:val="24"/>
        </w:rPr>
        <w:t>”.</w:t>
      </w:r>
    </w:p>
    <w:p w:rsidR="00CB4BDE" w:rsidRPr="00A64DAD" w:rsidRDefault="00CB4BDE" w:rsidP="00CB4BDE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A64DAD">
        <w:rPr>
          <w:rFonts w:ascii="Garamond" w:hAnsi="Garamond"/>
          <w:sz w:val="24"/>
          <w:szCs w:val="24"/>
        </w:rPr>
        <w:t>4. Pika “33”, shkronja “a” dhe “b”</w:t>
      </w:r>
      <w:r w:rsidR="00862D63" w:rsidRPr="00A64DAD">
        <w:rPr>
          <w:rFonts w:ascii="Garamond" w:hAnsi="Garamond"/>
          <w:sz w:val="24"/>
          <w:szCs w:val="24"/>
        </w:rPr>
        <w:t>,</w:t>
      </w:r>
      <w:r w:rsidRPr="00A64DAD">
        <w:rPr>
          <w:rFonts w:ascii="Garamond" w:hAnsi="Garamond"/>
          <w:sz w:val="24"/>
          <w:szCs w:val="24"/>
        </w:rPr>
        <w:t xml:space="preserve"> të </w:t>
      </w:r>
      <w:r w:rsidR="00862D63" w:rsidRPr="00A64DAD">
        <w:rPr>
          <w:rFonts w:ascii="Garamond" w:hAnsi="Garamond"/>
          <w:sz w:val="24"/>
          <w:szCs w:val="24"/>
        </w:rPr>
        <w:t xml:space="preserve">udhëzimit </w:t>
      </w:r>
      <w:r w:rsidRPr="00A64DAD">
        <w:rPr>
          <w:rFonts w:ascii="Garamond" w:hAnsi="Garamond"/>
          <w:sz w:val="24"/>
          <w:szCs w:val="24"/>
        </w:rPr>
        <w:t>nr. 5, datë 25.3.2011</w:t>
      </w:r>
      <w:r w:rsidR="00862D63" w:rsidRPr="00A64DAD">
        <w:rPr>
          <w:rFonts w:ascii="Garamond" w:hAnsi="Garamond"/>
          <w:sz w:val="24"/>
          <w:szCs w:val="24"/>
        </w:rPr>
        <w:t>,</w:t>
      </w:r>
      <w:r w:rsidRPr="00A64DAD">
        <w:rPr>
          <w:rFonts w:ascii="Garamond" w:hAnsi="Garamond"/>
          <w:sz w:val="24"/>
          <w:szCs w:val="24"/>
        </w:rPr>
        <w:t xml:space="preserve"> “Për kërkesat specifike të higjienës për stabilimentet e prodhimit, grumbullimit dhe përpunimit të qumështit dhe produkteve me bazë qumështi”</w:t>
      </w:r>
      <w:r w:rsidR="00862D63" w:rsidRPr="00A64DAD">
        <w:rPr>
          <w:rFonts w:ascii="Garamond" w:hAnsi="Garamond"/>
          <w:sz w:val="24"/>
          <w:szCs w:val="24"/>
        </w:rPr>
        <w:t>,</w:t>
      </w:r>
      <w:r w:rsidRPr="00A64DAD">
        <w:rPr>
          <w:rFonts w:ascii="Garamond" w:hAnsi="Garamond"/>
          <w:sz w:val="24"/>
          <w:szCs w:val="24"/>
        </w:rPr>
        <w:t xml:space="preserve"> është zëvendësuar si më poshtë:</w:t>
      </w:r>
    </w:p>
    <w:p w:rsidR="00CB4BDE" w:rsidRPr="00A64DAD" w:rsidRDefault="00CB4BDE" w:rsidP="00CB4BDE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A64DAD">
        <w:rPr>
          <w:rFonts w:ascii="Garamond" w:hAnsi="Garamond"/>
          <w:sz w:val="24"/>
          <w:szCs w:val="24"/>
        </w:rPr>
        <w:t>Kur qumështi i papërpunuar dhe produktet e bulmetit i nënshtrohen trajtimit të nxehtësisë, operatorët e biznesit ushqimor duhet të sigurojnë që kjo kënaq kërkesat e parashtruara në legjislacionin në fuqi. Në veçanti, kur përdoren proceset e mëposhtme ata duhet të sigurojnë që përputhen me specifikimet më poshtë:</w:t>
      </w:r>
    </w:p>
    <w:p w:rsidR="00CB4BDE" w:rsidRPr="00A64DAD" w:rsidRDefault="00CB4BDE" w:rsidP="00CB4BDE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A64DAD">
        <w:rPr>
          <w:rFonts w:ascii="Garamond" w:hAnsi="Garamond"/>
          <w:sz w:val="24"/>
          <w:szCs w:val="24"/>
        </w:rPr>
        <w:t xml:space="preserve">a) </w:t>
      </w:r>
      <w:r w:rsidR="00862D63" w:rsidRPr="00A64DAD">
        <w:rPr>
          <w:rFonts w:ascii="Garamond" w:hAnsi="Garamond"/>
          <w:sz w:val="24"/>
          <w:szCs w:val="24"/>
        </w:rPr>
        <w:t xml:space="preserve">Pasterizimi </w:t>
      </w:r>
      <w:r w:rsidRPr="00A64DAD">
        <w:rPr>
          <w:rFonts w:ascii="Garamond" w:hAnsi="Garamond"/>
          <w:sz w:val="24"/>
          <w:szCs w:val="24"/>
        </w:rPr>
        <w:t>arrihet nga trajtimi duke përfshirë:</w:t>
      </w:r>
    </w:p>
    <w:p w:rsidR="00CB4BDE" w:rsidRPr="00A64DAD" w:rsidRDefault="00CB4BDE" w:rsidP="00CB4BDE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A64DAD">
        <w:rPr>
          <w:rFonts w:ascii="Garamond" w:hAnsi="Garamond"/>
          <w:sz w:val="24"/>
          <w:szCs w:val="24"/>
        </w:rPr>
        <w:t>i. temperaturë të lartë për një kohë të shkurtër (të paktën 72°C për 15 sekonda);</w:t>
      </w:r>
    </w:p>
    <w:p w:rsidR="00CB4BDE" w:rsidRPr="00A64DAD" w:rsidRDefault="00CB4BDE" w:rsidP="00CB4BDE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A64DAD">
        <w:rPr>
          <w:rFonts w:ascii="Garamond" w:hAnsi="Garamond"/>
          <w:sz w:val="24"/>
          <w:szCs w:val="24"/>
        </w:rPr>
        <w:t>ii. temperaturë të lartë për një kohë të gjatë (të paktën 63°C për 30 minuta) ose;</w:t>
      </w:r>
    </w:p>
    <w:p w:rsidR="00CB4BDE" w:rsidRPr="00A64DAD" w:rsidRDefault="00CB4BDE" w:rsidP="00CB4BDE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A64DAD">
        <w:rPr>
          <w:rFonts w:ascii="Garamond" w:hAnsi="Garamond"/>
          <w:sz w:val="24"/>
          <w:szCs w:val="24"/>
        </w:rPr>
        <w:t xml:space="preserve">iii. çdo kombinim tjetër të kushteve të kohës </w:t>
      </w:r>
      <w:r w:rsidR="00862D63" w:rsidRPr="00A64DAD">
        <w:rPr>
          <w:rFonts w:ascii="Garamond" w:hAnsi="Garamond"/>
          <w:sz w:val="24"/>
          <w:szCs w:val="24"/>
        </w:rPr>
        <w:t>–</w:t>
      </w:r>
      <w:r w:rsidRPr="00A64DAD">
        <w:rPr>
          <w:rFonts w:ascii="Garamond" w:hAnsi="Garamond"/>
          <w:sz w:val="24"/>
          <w:szCs w:val="24"/>
        </w:rPr>
        <w:t xml:space="preserve"> temperaturës për të mbajtur efekt ekuivalent, siç e tregojnë produktet, ku është e aplikueshme, reagimin negativ të një testi fosfatazë alkaline, menjëherë pas këtij trajtimi.</w:t>
      </w:r>
    </w:p>
    <w:p w:rsidR="00CB4BDE" w:rsidRPr="00A64DAD" w:rsidRDefault="00CB4BDE" w:rsidP="00CB4BDE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A64DAD">
        <w:rPr>
          <w:rFonts w:ascii="Garamond" w:hAnsi="Garamond"/>
          <w:sz w:val="24"/>
          <w:szCs w:val="24"/>
        </w:rPr>
        <w:t xml:space="preserve">b) </w:t>
      </w:r>
      <w:r w:rsidR="00862D63" w:rsidRPr="00A64DAD">
        <w:rPr>
          <w:rFonts w:ascii="Garamond" w:hAnsi="Garamond"/>
          <w:sz w:val="24"/>
          <w:szCs w:val="24"/>
        </w:rPr>
        <w:t xml:space="preserve">Trajtimi </w:t>
      </w:r>
      <w:r w:rsidRPr="00A64DAD">
        <w:rPr>
          <w:rFonts w:ascii="Garamond" w:hAnsi="Garamond"/>
          <w:sz w:val="24"/>
          <w:szCs w:val="24"/>
        </w:rPr>
        <w:t xml:space="preserve">me temperaturë ultra të lartë (UHT) arrihet me anë të një trajtimi: </w:t>
      </w:r>
    </w:p>
    <w:p w:rsidR="00CB4BDE" w:rsidRPr="00A64DAD" w:rsidRDefault="00CB4BDE" w:rsidP="00CB4BDE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A64DAD">
        <w:rPr>
          <w:rFonts w:ascii="Garamond" w:hAnsi="Garamond"/>
          <w:sz w:val="24"/>
          <w:szCs w:val="24"/>
        </w:rPr>
        <w:t>i. që përfshin një rrjedhje të vazhdueshme të nxehtësisë në një temperaturë të lartë për një kohë të shkurtër (jo më pak se 135</w:t>
      </w:r>
      <w:r w:rsidR="00862D63" w:rsidRPr="00A64DAD">
        <w:rPr>
          <w:rFonts w:ascii="Garamond" w:hAnsi="Garamond"/>
          <w:sz w:val="24"/>
          <w:szCs w:val="24"/>
        </w:rPr>
        <w:t>°C</w:t>
      </w:r>
      <w:r w:rsidRPr="00A64DAD">
        <w:rPr>
          <w:rFonts w:ascii="Garamond" w:hAnsi="Garamond"/>
          <w:sz w:val="24"/>
          <w:szCs w:val="24"/>
        </w:rPr>
        <w:t xml:space="preserve"> në kombinim me një kohë të përshtatshme mbajtjeje)</w:t>
      </w:r>
      <w:r w:rsidR="00862D63" w:rsidRPr="00A64DAD">
        <w:rPr>
          <w:rFonts w:ascii="Garamond" w:hAnsi="Garamond"/>
          <w:sz w:val="24"/>
          <w:szCs w:val="24"/>
        </w:rPr>
        <w:t>,</w:t>
      </w:r>
      <w:r w:rsidRPr="00A64DAD">
        <w:rPr>
          <w:rFonts w:ascii="Garamond" w:hAnsi="Garamond"/>
          <w:sz w:val="24"/>
          <w:szCs w:val="24"/>
        </w:rPr>
        <w:t xml:space="preserve"> që të mos ketë mikroorganizma të qëndruesh</w:t>
      </w:r>
      <w:r w:rsidR="00862D63" w:rsidRPr="00A64DAD">
        <w:rPr>
          <w:rFonts w:ascii="Garamond" w:hAnsi="Garamond"/>
          <w:sz w:val="24"/>
          <w:szCs w:val="24"/>
        </w:rPr>
        <w:t>ëm</w:t>
      </w:r>
      <w:r w:rsidRPr="00A64DAD">
        <w:rPr>
          <w:rFonts w:ascii="Garamond" w:hAnsi="Garamond"/>
          <w:sz w:val="24"/>
          <w:szCs w:val="24"/>
        </w:rPr>
        <w:t xml:space="preserve"> ose spore të afta të rriten në produktin e trajtuar</w:t>
      </w:r>
      <w:r w:rsidR="00862D63" w:rsidRPr="00A64DAD">
        <w:rPr>
          <w:rFonts w:ascii="Garamond" w:hAnsi="Garamond"/>
          <w:sz w:val="24"/>
          <w:szCs w:val="24"/>
        </w:rPr>
        <w:t>,</w:t>
      </w:r>
      <w:r w:rsidRPr="00A64DAD">
        <w:rPr>
          <w:rFonts w:ascii="Garamond" w:hAnsi="Garamond"/>
          <w:sz w:val="24"/>
          <w:szCs w:val="24"/>
        </w:rPr>
        <w:t xml:space="preserve"> kur mbahen në një enë të mbyllur aseptike në temperaturën e ambientit</w:t>
      </w:r>
      <w:r w:rsidR="00862D63" w:rsidRPr="00A64DAD">
        <w:rPr>
          <w:rFonts w:ascii="Garamond" w:hAnsi="Garamond"/>
          <w:sz w:val="24"/>
          <w:szCs w:val="24"/>
        </w:rPr>
        <w:t>;</w:t>
      </w:r>
      <w:r w:rsidRPr="00A64DAD">
        <w:rPr>
          <w:rFonts w:ascii="Garamond" w:hAnsi="Garamond"/>
          <w:sz w:val="24"/>
          <w:szCs w:val="24"/>
        </w:rPr>
        <w:t xml:space="preserve"> dhe </w:t>
      </w:r>
    </w:p>
    <w:p w:rsidR="00CB4BDE" w:rsidRPr="00A64DAD" w:rsidRDefault="00CB4BDE" w:rsidP="00CB4BDE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A64DAD">
        <w:rPr>
          <w:rFonts w:ascii="Garamond" w:hAnsi="Garamond"/>
          <w:sz w:val="24"/>
          <w:szCs w:val="24"/>
        </w:rPr>
        <w:t>ii. të mjaftueshme për të siguruar që produktet të qëndrojnë mikrobiologjikisht të qëndrueshme</w:t>
      </w:r>
      <w:r w:rsidR="00862D63" w:rsidRPr="00A64DAD">
        <w:rPr>
          <w:rFonts w:ascii="Garamond" w:hAnsi="Garamond"/>
          <w:sz w:val="24"/>
          <w:szCs w:val="24"/>
        </w:rPr>
        <w:t>,</w:t>
      </w:r>
      <w:r w:rsidRPr="00A64DAD">
        <w:rPr>
          <w:rFonts w:ascii="Garamond" w:hAnsi="Garamond"/>
          <w:sz w:val="24"/>
          <w:szCs w:val="24"/>
        </w:rPr>
        <w:t xml:space="preserve"> pasi të inkubohen për 15 ditë në 30</w:t>
      </w:r>
      <w:r w:rsidR="00862D63" w:rsidRPr="00A64DAD">
        <w:rPr>
          <w:rFonts w:ascii="Garamond" w:hAnsi="Garamond"/>
          <w:sz w:val="24"/>
          <w:szCs w:val="24"/>
        </w:rPr>
        <w:t>°C</w:t>
      </w:r>
      <w:r w:rsidRPr="00A64DAD">
        <w:rPr>
          <w:rFonts w:ascii="Garamond" w:hAnsi="Garamond"/>
          <w:sz w:val="24"/>
          <w:szCs w:val="24"/>
        </w:rPr>
        <w:t xml:space="preserve"> në kontejnerë të mbyllur ose për 7 ditë në 55</w:t>
      </w:r>
      <w:r w:rsidR="00862D63" w:rsidRPr="00A64DAD">
        <w:rPr>
          <w:rFonts w:ascii="Garamond" w:hAnsi="Garamond"/>
          <w:sz w:val="24"/>
          <w:szCs w:val="24"/>
        </w:rPr>
        <w:t>°C</w:t>
      </w:r>
      <w:r w:rsidRPr="00A64DAD">
        <w:rPr>
          <w:rFonts w:ascii="Garamond" w:hAnsi="Garamond"/>
          <w:sz w:val="24"/>
          <w:szCs w:val="24"/>
        </w:rPr>
        <w:t xml:space="preserve"> në kontejnerë të mbyllur ose pas ndonjë metode tjetër që tregon se është aplikuar trajtimi i duhur i nxehtësisë.</w:t>
      </w:r>
    </w:p>
    <w:p w:rsidR="001164E3" w:rsidRPr="00A64DAD" w:rsidRDefault="00CB4BDE" w:rsidP="00CB4BDE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A64DAD">
        <w:rPr>
          <w:rFonts w:ascii="Garamond" w:hAnsi="Garamond"/>
          <w:sz w:val="24"/>
          <w:szCs w:val="24"/>
        </w:rPr>
        <w:t>5. Pjesa II</w:t>
      </w:r>
      <w:r w:rsidR="00862D63" w:rsidRPr="00A64DAD">
        <w:rPr>
          <w:rFonts w:ascii="Garamond" w:hAnsi="Garamond"/>
          <w:sz w:val="24"/>
          <w:szCs w:val="24"/>
        </w:rPr>
        <w:t>,</w:t>
      </w:r>
      <w:r w:rsidRPr="00A64DAD">
        <w:rPr>
          <w:rFonts w:ascii="Garamond" w:hAnsi="Garamond"/>
          <w:sz w:val="24"/>
          <w:szCs w:val="24"/>
        </w:rPr>
        <w:t xml:space="preserve"> </w:t>
      </w:r>
      <w:r w:rsidR="00862D63" w:rsidRPr="00A64DAD">
        <w:rPr>
          <w:rFonts w:ascii="Garamond" w:hAnsi="Garamond"/>
          <w:sz w:val="24"/>
          <w:szCs w:val="24"/>
        </w:rPr>
        <w:t>“</w:t>
      </w:r>
      <w:r w:rsidRPr="00A64DAD">
        <w:rPr>
          <w:rFonts w:ascii="Garamond" w:hAnsi="Garamond"/>
          <w:sz w:val="24"/>
          <w:szCs w:val="24"/>
        </w:rPr>
        <w:t>Kërkesat specifike të higjienës të operatorëve të biznesit ushqimor</w:t>
      </w:r>
      <w:r w:rsidR="00862D63" w:rsidRPr="00A64DAD">
        <w:rPr>
          <w:rFonts w:ascii="Garamond" w:hAnsi="Garamond"/>
          <w:sz w:val="24"/>
          <w:szCs w:val="24"/>
        </w:rPr>
        <w:t>”</w:t>
      </w:r>
      <w:r w:rsidRPr="00A64DAD">
        <w:rPr>
          <w:rFonts w:ascii="Garamond" w:hAnsi="Garamond"/>
          <w:sz w:val="24"/>
          <w:szCs w:val="24"/>
        </w:rPr>
        <w:t xml:space="preserve">, pika 12, shkronja “e”,  të </w:t>
      </w:r>
      <w:r w:rsidR="00862D63" w:rsidRPr="00A64DAD">
        <w:rPr>
          <w:rFonts w:ascii="Garamond" w:hAnsi="Garamond"/>
          <w:sz w:val="24"/>
          <w:szCs w:val="24"/>
        </w:rPr>
        <w:t xml:space="preserve">udhëzimit </w:t>
      </w:r>
      <w:r w:rsidRPr="00A64DAD">
        <w:rPr>
          <w:rFonts w:ascii="Garamond" w:hAnsi="Garamond"/>
          <w:sz w:val="24"/>
          <w:szCs w:val="24"/>
        </w:rPr>
        <w:t>nr. 2, datë 25.11.2010</w:t>
      </w:r>
      <w:r w:rsidR="00862D63" w:rsidRPr="00A64DAD">
        <w:rPr>
          <w:rFonts w:ascii="Garamond" w:hAnsi="Garamond"/>
          <w:sz w:val="24"/>
          <w:szCs w:val="24"/>
        </w:rPr>
        <w:t>,</w:t>
      </w:r>
      <w:r w:rsidRPr="00A64DAD">
        <w:rPr>
          <w:rFonts w:ascii="Garamond" w:hAnsi="Garamond"/>
          <w:sz w:val="24"/>
          <w:szCs w:val="24"/>
        </w:rPr>
        <w:t xml:space="preserve"> “Mbi kërkesat specifike të higjienës dhe kontrollet zyrtare për produktet me origjinë shtazore”, është ndryshuar si më poshtë: </w:t>
      </w:r>
    </w:p>
    <w:p w:rsidR="00CB4BDE" w:rsidRPr="00A64DAD" w:rsidRDefault="00CB4BDE" w:rsidP="00CB4BDE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A64DAD">
        <w:rPr>
          <w:rFonts w:ascii="Garamond" w:hAnsi="Garamond"/>
          <w:sz w:val="24"/>
          <w:szCs w:val="24"/>
        </w:rPr>
        <w:t>“Pas thyerjes, çdo grimcë e vezës së lëngshme duhet t</w:t>
      </w:r>
      <w:r w:rsidR="001164E3" w:rsidRPr="00A64DAD">
        <w:rPr>
          <w:rFonts w:ascii="Garamond" w:hAnsi="Garamond"/>
          <w:sz w:val="24"/>
          <w:szCs w:val="24"/>
        </w:rPr>
        <w:t>’</w:t>
      </w:r>
      <w:r w:rsidRPr="00A64DAD">
        <w:rPr>
          <w:rFonts w:ascii="Garamond" w:hAnsi="Garamond"/>
          <w:sz w:val="24"/>
          <w:szCs w:val="24"/>
        </w:rPr>
        <w:t>i nënshtrohet përpunimit sa më shpejt të jetë e mundur</w:t>
      </w:r>
      <w:r w:rsidR="001164E3" w:rsidRPr="00A64DAD">
        <w:rPr>
          <w:rFonts w:ascii="Garamond" w:hAnsi="Garamond"/>
          <w:sz w:val="24"/>
          <w:szCs w:val="24"/>
        </w:rPr>
        <w:t>,</w:t>
      </w:r>
      <w:r w:rsidRPr="00A64DAD">
        <w:rPr>
          <w:rFonts w:ascii="Garamond" w:hAnsi="Garamond"/>
          <w:sz w:val="24"/>
          <w:szCs w:val="24"/>
        </w:rPr>
        <w:t xml:space="preserve"> për të eliminuar rreziqet mikrobiologjike ose për t</w:t>
      </w:r>
      <w:r w:rsidR="001164E3" w:rsidRPr="00A64DAD">
        <w:rPr>
          <w:rFonts w:ascii="Garamond" w:hAnsi="Garamond"/>
          <w:sz w:val="24"/>
          <w:szCs w:val="24"/>
        </w:rPr>
        <w:t>’</w:t>
      </w:r>
      <w:r w:rsidRPr="00A64DAD">
        <w:rPr>
          <w:rFonts w:ascii="Garamond" w:hAnsi="Garamond"/>
          <w:sz w:val="24"/>
          <w:szCs w:val="24"/>
        </w:rPr>
        <w:t>i zvogëluar ato në një nivel të pranueshëm. Një porcion që është përpunuar në mënyrë të pamjaftueshme mund</w:t>
      </w:r>
      <w:r w:rsidR="001164E3" w:rsidRPr="00A64DAD">
        <w:rPr>
          <w:rFonts w:ascii="Garamond" w:hAnsi="Garamond"/>
          <w:sz w:val="24"/>
          <w:szCs w:val="24"/>
        </w:rPr>
        <w:t>,</w:t>
      </w:r>
      <w:r w:rsidRPr="00A64DAD">
        <w:rPr>
          <w:rFonts w:ascii="Garamond" w:hAnsi="Garamond"/>
          <w:sz w:val="24"/>
          <w:szCs w:val="24"/>
        </w:rPr>
        <w:t xml:space="preserve"> menjëherë</w:t>
      </w:r>
      <w:r w:rsidR="001164E3" w:rsidRPr="00A64DAD">
        <w:rPr>
          <w:rFonts w:ascii="Garamond" w:hAnsi="Garamond"/>
          <w:sz w:val="24"/>
          <w:szCs w:val="24"/>
        </w:rPr>
        <w:t>,</w:t>
      </w:r>
      <w:r w:rsidRPr="00A64DAD">
        <w:rPr>
          <w:rFonts w:ascii="Garamond" w:hAnsi="Garamond"/>
          <w:sz w:val="24"/>
          <w:szCs w:val="24"/>
        </w:rPr>
        <w:t xml:space="preserve"> t</w:t>
      </w:r>
      <w:r w:rsidR="001164E3" w:rsidRPr="00A64DAD">
        <w:rPr>
          <w:rFonts w:ascii="Garamond" w:hAnsi="Garamond"/>
          <w:sz w:val="24"/>
          <w:szCs w:val="24"/>
        </w:rPr>
        <w:t>’</w:t>
      </w:r>
      <w:r w:rsidRPr="00A64DAD">
        <w:rPr>
          <w:rFonts w:ascii="Garamond" w:hAnsi="Garamond"/>
          <w:sz w:val="24"/>
          <w:szCs w:val="24"/>
        </w:rPr>
        <w:t>i nënshtrohet përsëri përpunimit në të njëjtën strukturë</w:t>
      </w:r>
      <w:r w:rsidR="001164E3" w:rsidRPr="00A64DAD">
        <w:rPr>
          <w:rFonts w:ascii="Garamond" w:hAnsi="Garamond"/>
          <w:sz w:val="24"/>
          <w:szCs w:val="24"/>
        </w:rPr>
        <w:t>,</w:t>
      </w:r>
      <w:r w:rsidRPr="00A64DAD">
        <w:rPr>
          <w:rFonts w:ascii="Garamond" w:hAnsi="Garamond"/>
          <w:sz w:val="24"/>
          <w:szCs w:val="24"/>
        </w:rPr>
        <w:t xml:space="preserve"> nëse ky përpunim e bën atë të përshtatsh</w:t>
      </w:r>
      <w:r w:rsidR="001164E3" w:rsidRPr="00A64DAD">
        <w:rPr>
          <w:rFonts w:ascii="Garamond" w:hAnsi="Garamond"/>
          <w:sz w:val="24"/>
          <w:szCs w:val="24"/>
        </w:rPr>
        <w:t>ë</w:t>
      </w:r>
      <w:r w:rsidRPr="00A64DAD">
        <w:rPr>
          <w:rFonts w:ascii="Garamond" w:hAnsi="Garamond"/>
          <w:sz w:val="24"/>
          <w:szCs w:val="24"/>
        </w:rPr>
        <w:t>m për konsum njerëzor. Kur një porcion vlerësohet se është i papërshtatshëm për konsum njerëzor, duhet të denatyrohet për të siguruar që nuk përdoret për konsum njerëzor</w:t>
      </w:r>
      <w:r w:rsidR="001164E3" w:rsidRPr="00A64DAD">
        <w:rPr>
          <w:rFonts w:ascii="Garamond" w:hAnsi="Garamond"/>
          <w:sz w:val="24"/>
          <w:szCs w:val="24"/>
        </w:rPr>
        <w:t>.</w:t>
      </w:r>
      <w:r w:rsidRPr="00A64DAD">
        <w:rPr>
          <w:rFonts w:ascii="Garamond" w:hAnsi="Garamond"/>
          <w:sz w:val="24"/>
          <w:szCs w:val="24"/>
        </w:rPr>
        <w:t>”.</w:t>
      </w:r>
    </w:p>
    <w:p w:rsidR="00CB4BDE" w:rsidRPr="00A64DAD" w:rsidRDefault="00CB4BDE" w:rsidP="00CB4BDE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A64DAD">
        <w:rPr>
          <w:rFonts w:ascii="Garamond" w:hAnsi="Garamond"/>
          <w:sz w:val="24"/>
          <w:szCs w:val="24"/>
        </w:rPr>
        <w:t>Pika 17 është zëvendësuar si më poshtë:</w:t>
      </w:r>
    </w:p>
    <w:p w:rsidR="00CB4BDE" w:rsidRPr="00A64DAD" w:rsidRDefault="00CB4BDE" w:rsidP="00CB4BDE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  <w:r w:rsidRPr="00A64DAD">
        <w:rPr>
          <w:rFonts w:ascii="Garamond" w:hAnsi="Garamond"/>
          <w:sz w:val="24"/>
          <w:szCs w:val="24"/>
        </w:rPr>
        <w:t>“Në rastin e vezës së lëngshme, etiketa referuar në pikën 1</w:t>
      </w:r>
      <w:r w:rsidR="001164E3" w:rsidRPr="00A64DAD">
        <w:rPr>
          <w:rFonts w:ascii="Garamond" w:hAnsi="Garamond"/>
          <w:sz w:val="24"/>
          <w:szCs w:val="24"/>
        </w:rPr>
        <w:t>,</w:t>
      </w:r>
      <w:r w:rsidRPr="00A64DAD">
        <w:rPr>
          <w:rFonts w:ascii="Garamond" w:hAnsi="Garamond"/>
          <w:sz w:val="24"/>
          <w:szCs w:val="24"/>
        </w:rPr>
        <w:t xml:space="preserve"> gjithashtu</w:t>
      </w:r>
      <w:r w:rsidR="001164E3" w:rsidRPr="00A64DAD">
        <w:rPr>
          <w:rFonts w:ascii="Garamond" w:hAnsi="Garamond"/>
          <w:sz w:val="24"/>
          <w:szCs w:val="24"/>
        </w:rPr>
        <w:t>,</w:t>
      </w:r>
      <w:r w:rsidRPr="00A64DAD">
        <w:rPr>
          <w:rFonts w:ascii="Garamond" w:hAnsi="Garamond"/>
          <w:sz w:val="24"/>
          <w:szCs w:val="24"/>
        </w:rPr>
        <w:t xml:space="preserve"> mund të përmbajë fjalët: “vezë e lëngshme jo e pasterizuar – për t’u trajtuar në vendin e destinacionit” dhe tregon datën dhe orën e thyerjes”.</w:t>
      </w:r>
    </w:p>
    <w:p w:rsidR="00CB4BDE" w:rsidRPr="00A64DAD" w:rsidRDefault="00CB4BDE" w:rsidP="00CB4BDE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</w:p>
    <w:sectPr w:rsidR="00CB4BDE" w:rsidRPr="00A64D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E97" w:rsidRDefault="002A0E97" w:rsidP="00CB4BDE">
      <w:pPr>
        <w:spacing w:after="0" w:line="240" w:lineRule="auto"/>
      </w:pPr>
      <w:r>
        <w:separator/>
      </w:r>
    </w:p>
  </w:endnote>
  <w:endnote w:type="continuationSeparator" w:id="0">
    <w:p w:rsidR="002A0E97" w:rsidRDefault="002A0E97" w:rsidP="00CB4BDE">
      <w:pPr>
        <w:spacing w:after="0" w:line="240" w:lineRule="auto"/>
      </w:pPr>
      <w:r>
        <w:continuationSeparator/>
      </w:r>
    </w:p>
  </w:endnote>
  <w:endnote w:type="continuationNotice" w:id="1">
    <w:p w:rsidR="002A0E97" w:rsidRDefault="002A0E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E97" w:rsidRDefault="002A0E97" w:rsidP="00CB4BDE">
      <w:pPr>
        <w:spacing w:after="0" w:line="240" w:lineRule="auto"/>
      </w:pPr>
      <w:r>
        <w:separator/>
      </w:r>
    </w:p>
  </w:footnote>
  <w:footnote w:type="continuationSeparator" w:id="0">
    <w:p w:rsidR="002A0E97" w:rsidRDefault="002A0E97" w:rsidP="00CB4BDE">
      <w:pPr>
        <w:spacing w:after="0" w:line="240" w:lineRule="auto"/>
      </w:pPr>
      <w:r>
        <w:continuationSeparator/>
      </w:r>
    </w:p>
  </w:footnote>
  <w:footnote w:type="continuationNotice" w:id="1">
    <w:p w:rsidR="002A0E97" w:rsidRDefault="002A0E97">
      <w:pPr>
        <w:spacing w:after="0" w:line="240" w:lineRule="auto"/>
      </w:pPr>
    </w:p>
  </w:footnote>
  <w:footnote w:id="2">
    <w:p w:rsidR="002146D1" w:rsidRPr="00CB4BDE" w:rsidRDefault="002146D1" w:rsidP="00E74E54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CB4BDE">
        <w:rPr>
          <w:rStyle w:val="FootnoteReference"/>
          <w:rFonts w:ascii="Garamond" w:hAnsi="Garamond"/>
          <w:sz w:val="20"/>
          <w:szCs w:val="20"/>
        </w:rPr>
        <w:footnoteRef/>
      </w:r>
      <w:r w:rsidRPr="00CB4BDE">
        <w:rPr>
          <w:rFonts w:ascii="Garamond" w:hAnsi="Garamond"/>
          <w:sz w:val="20"/>
          <w:szCs w:val="20"/>
        </w:rPr>
        <w:t xml:space="preserve"> Ky udhëzim është përafruar pjesërisht me “Rregullore e Komisionit” (KE) </w:t>
      </w:r>
      <w:r w:rsidR="00E74E54" w:rsidRPr="00CB4BDE">
        <w:rPr>
          <w:rFonts w:ascii="Garamond" w:hAnsi="Garamond"/>
          <w:sz w:val="20"/>
          <w:szCs w:val="20"/>
        </w:rPr>
        <w:t>nr</w:t>
      </w:r>
      <w:r w:rsidRPr="00CB4BDE">
        <w:rPr>
          <w:rFonts w:ascii="Garamond" w:hAnsi="Garamond"/>
          <w:sz w:val="20"/>
          <w:szCs w:val="20"/>
        </w:rPr>
        <w:t>. 2074/2005</w:t>
      </w:r>
      <w:r w:rsidR="00E74E54">
        <w:rPr>
          <w:rFonts w:ascii="Garamond" w:hAnsi="Garamond"/>
          <w:sz w:val="20"/>
          <w:szCs w:val="20"/>
        </w:rPr>
        <w:t>,</w:t>
      </w:r>
      <w:r w:rsidRPr="00CB4BDE">
        <w:rPr>
          <w:rFonts w:ascii="Garamond" w:hAnsi="Garamond"/>
          <w:sz w:val="20"/>
          <w:szCs w:val="20"/>
        </w:rPr>
        <w:t xml:space="preserve"> që përcakton masat zbatuese për produkte të caktuara sipas Rregullores (KE) </w:t>
      </w:r>
      <w:r w:rsidR="00E74E54" w:rsidRPr="00CB4BDE">
        <w:rPr>
          <w:rFonts w:ascii="Garamond" w:hAnsi="Garamond"/>
          <w:sz w:val="20"/>
          <w:szCs w:val="20"/>
        </w:rPr>
        <w:t>nr</w:t>
      </w:r>
      <w:r w:rsidRPr="00CB4BDE">
        <w:rPr>
          <w:rFonts w:ascii="Garamond" w:hAnsi="Garamond"/>
          <w:sz w:val="20"/>
          <w:szCs w:val="20"/>
        </w:rPr>
        <w:t>. 853/2004 të Parlamentit Evropian dhe të Këshillit dhe për organizimin e kontrolleve zyrtare</w:t>
      </w:r>
      <w:r w:rsidR="00E74E54">
        <w:rPr>
          <w:rFonts w:ascii="Garamond" w:hAnsi="Garamond"/>
          <w:sz w:val="20"/>
          <w:szCs w:val="20"/>
        </w:rPr>
        <w:t>,</w:t>
      </w:r>
      <w:r w:rsidRPr="00CB4BDE">
        <w:rPr>
          <w:rFonts w:ascii="Garamond" w:hAnsi="Garamond"/>
          <w:sz w:val="20"/>
          <w:szCs w:val="20"/>
        </w:rPr>
        <w:t xml:space="preserve"> sipas </w:t>
      </w:r>
      <w:r w:rsidR="00E74E54" w:rsidRPr="00CB4BDE">
        <w:rPr>
          <w:rFonts w:ascii="Garamond" w:hAnsi="Garamond"/>
          <w:sz w:val="20"/>
          <w:szCs w:val="20"/>
        </w:rPr>
        <w:t xml:space="preserve">rregullores </w:t>
      </w:r>
      <w:r w:rsidRPr="00CB4BDE">
        <w:rPr>
          <w:rFonts w:ascii="Garamond" w:hAnsi="Garamond"/>
          <w:sz w:val="20"/>
          <w:szCs w:val="20"/>
        </w:rPr>
        <w:t xml:space="preserve">(KE) </w:t>
      </w:r>
      <w:r w:rsidR="00E74E54" w:rsidRPr="00CB4BDE">
        <w:rPr>
          <w:rFonts w:ascii="Garamond" w:hAnsi="Garamond"/>
          <w:sz w:val="20"/>
          <w:szCs w:val="20"/>
        </w:rPr>
        <w:t>nr</w:t>
      </w:r>
      <w:r w:rsidRPr="00CB4BDE">
        <w:rPr>
          <w:rFonts w:ascii="Garamond" w:hAnsi="Garamond"/>
          <w:sz w:val="20"/>
          <w:szCs w:val="20"/>
        </w:rPr>
        <w:t xml:space="preserve">. 854/2004 të Parlamentit Evropian dhe </w:t>
      </w:r>
      <w:r w:rsidR="00E74E54">
        <w:rPr>
          <w:rFonts w:ascii="Garamond" w:hAnsi="Garamond"/>
          <w:sz w:val="20"/>
          <w:szCs w:val="20"/>
        </w:rPr>
        <w:t>të</w:t>
      </w:r>
      <w:r w:rsidRPr="00CB4BDE">
        <w:rPr>
          <w:rFonts w:ascii="Garamond" w:hAnsi="Garamond"/>
          <w:sz w:val="20"/>
          <w:szCs w:val="20"/>
        </w:rPr>
        <w:t xml:space="preserve"> Këshillit dhe </w:t>
      </w:r>
      <w:r w:rsidR="00E74E54" w:rsidRPr="00CB4BDE">
        <w:rPr>
          <w:rFonts w:ascii="Garamond" w:hAnsi="Garamond"/>
          <w:sz w:val="20"/>
          <w:szCs w:val="20"/>
        </w:rPr>
        <w:t xml:space="preserve">rregullorja </w:t>
      </w:r>
      <w:r w:rsidRPr="00CB4BDE">
        <w:rPr>
          <w:rFonts w:ascii="Garamond" w:hAnsi="Garamond"/>
          <w:sz w:val="20"/>
          <w:szCs w:val="20"/>
        </w:rPr>
        <w:t xml:space="preserve">(KE) </w:t>
      </w:r>
      <w:r w:rsidR="00E74E54" w:rsidRPr="00CB4BDE">
        <w:rPr>
          <w:rFonts w:ascii="Garamond" w:hAnsi="Garamond"/>
          <w:sz w:val="20"/>
          <w:szCs w:val="20"/>
        </w:rPr>
        <w:t>nr</w:t>
      </w:r>
      <w:r w:rsidRPr="00CB4BDE">
        <w:rPr>
          <w:rFonts w:ascii="Garamond" w:hAnsi="Garamond"/>
          <w:sz w:val="20"/>
          <w:szCs w:val="20"/>
        </w:rPr>
        <w:t xml:space="preserve">. 882/2004 e Parlamentit Evropian dhe e Këshillit, duke dërguar nga </w:t>
      </w:r>
      <w:r w:rsidR="00E74E54" w:rsidRPr="00CB4BDE">
        <w:rPr>
          <w:rFonts w:ascii="Garamond" w:hAnsi="Garamond"/>
          <w:sz w:val="20"/>
          <w:szCs w:val="20"/>
        </w:rPr>
        <w:t xml:space="preserve">rregullorja </w:t>
      </w:r>
      <w:r w:rsidRPr="00CB4BDE">
        <w:rPr>
          <w:rFonts w:ascii="Garamond" w:hAnsi="Garamond"/>
          <w:sz w:val="20"/>
          <w:szCs w:val="20"/>
        </w:rPr>
        <w:t xml:space="preserve">(KE) </w:t>
      </w:r>
      <w:r w:rsidR="00E74E54" w:rsidRPr="00CB4BDE">
        <w:rPr>
          <w:rFonts w:ascii="Garamond" w:hAnsi="Garamond"/>
          <w:sz w:val="20"/>
          <w:szCs w:val="20"/>
        </w:rPr>
        <w:t>nr</w:t>
      </w:r>
      <w:r w:rsidRPr="00CB4BDE">
        <w:rPr>
          <w:rFonts w:ascii="Garamond" w:hAnsi="Garamond"/>
          <w:sz w:val="20"/>
          <w:szCs w:val="20"/>
        </w:rPr>
        <w:t>. 852/2004 e Parlamentit Evropian dhe e Këshillit dhe rregulloret ndryshues</w:t>
      </w:r>
      <w:r>
        <w:rPr>
          <w:rFonts w:ascii="Garamond" w:hAnsi="Garamond"/>
          <w:sz w:val="20"/>
          <w:szCs w:val="20"/>
        </w:rPr>
        <w:t xml:space="preserve">e (KE) </w:t>
      </w:r>
      <w:r w:rsidR="00E74E54">
        <w:rPr>
          <w:rFonts w:ascii="Garamond" w:hAnsi="Garamond"/>
          <w:sz w:val="20"/>
          <w:szCs w:val="20"/>
        </w:rPr>
        <w:t>nr</w:t>
      </w:r>
      <w:r>
        <w:rPr>
          <w:rFonts w:ascii="Garamond" w:hAnsi="Garamond"/>
          <w:sz w:val="20"/>
          <w:szCs w:val="20"/>
        </w:rPr>
        <w:t>. 853/2004 dhe (EC)</w:t>
      </w:r>
      <w:r w:rsidRPr="00CB4BDE">
        <w:rPr>
          <w:rFonts w:ascii="Garamond" w:hAnsi="Garamond"/>
          <w:sz w:val="20"/>
          <w:szCs w:val="20"/>
        </w:rPr>
        <w:t xml:space="preserve"> </w:t>
      </w:r>
      <w:r w:rsidR="00E74E54" w:rsidRPr="00CB4BDE">
        <w:rPr>
          <w:rFonts w:ascii="Garamond" w:hAnsi="Garamond"/>
          <w:sz w:val="20"/>
          <w:szCs w:val="20"/>
        </w:rPr>
        <w:t>nr</w:t>
      </w:r>
      <w:r w:rsidRPr="00CB4BDE">
        <w:rPr>
          <w:rFonts w:ascii="Garamond" w:hAnsi="Garamond"/>
          <w:sz w:val="20"/>
          <w:szCs w:val="20"/>
        </w:rPr>
        <w:t>. 854/2004.</w:t>
      </w:r>
    </w:p>
    <w:p w:rsidR="002146D1" w:rsidRPr="00CB4BDE" w:rsidRDefault="002146D1" w:rsidP="00CB4BDE">
      <w:pPr>
        <w:spacing w:after="0" w:line="240" w:lineRule="auto"/>
        <w:ind w:firstLine="284"/>
        <w:jc w:val="both"/>
        <w:rPr>
          <w:rFonts w:ascii="Garamond" w:hAnsi="Garamond"/>
          <w:sz w:val="20"/>
          <w:szCs w:val="20"/>
        </w:rPr>
      </w:pPr>
    </w:p>
    <w:p w:rsidR="002146D1" w:rsidRDefault="002146D1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B015A"/>
    <w:multiLevelType w:val="hybridMultilevel"/>
    <w:tmpl w:val="EE1AE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0521F"/>
    <w:multiLevelType w:val="hybridMultilevel"/>
    <w:tmpl w:val="4B405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F646B"/>
    <w:multiLevelType w:val="hybridMultilevel"/>
    <w:tmpl w:val="B1605D2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BF69D2"/>
    <w:multiLevelType w:val="hybridMultilevel"/>
    <w:tmpl w:val="F22633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C2A39"/>
    <w:multiLevelType w:val="hybridMultilevel"/>
    <w:tmpl w:val="7FC404CA"/>
    <w:lvl w:ilvl="0" w:tplc="1F905C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60F42"/>
    <w:multiLevelType w:val="hybridMultilevel"/>
    <w:tmpl w:val="2AEE79E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6AB687B"/>
    <w:multiLevelType w:val="hybridMultilevel"/>
    <w:tmpl w:val="FCB8DB6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BB6C2A"/>
    <w:multiLevelType w:val="hybridMultilevel"/>
    <w:tmpl w:val="4762F056"/>
    <w:lvl w:ilvl="0" w:tplc="8C0C49B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474F78"/>
    <w:multiLevelType w:val="hybridMultilevel"/>
    <w:tmpl w:val="43381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16"/>
    <w:rsid w:val="00023B10"/>
    <w:rsid w:val="00031017"/>
    <w:rsid w:val="00040C22"/>
    <w:rsid w:val="001164E3"/>
    <w:rsid w:val="00150A13"/>
    <w:rsid w:val="00150D74"/>
    <w:rsid w:val="00154E30"/>
    <w:rsid w:val="002146D1"/>
    <w:rsid w:val="00255E9F"/>
    <w:rsid w:val="002A0E97"/>
    <w:rsid w:val="00323831"/>
    <w:rsid w:val="00417493"/>
    <w:rsid w:val="00427DDC"/>
    <w:rsid w:val="006B251A"/>
    <w:rsid w:val="006C5407"/>
    <w:rsid w:val="00820246"/>
    <w:rsid w:val="00862D63"/>
    <w:rsid w:val="009E4083"/>
    <w:rsid w:val="00A64DAD"/>
    <w:rsid w:val="00BA676A"/>
    <w:rsid w:val="00CA0413"/>
    <w:rsid w:val="00CB4BDE"/>
    <w:rsid w:val="00DA1316"/>
    <w:rsid w:val="00DD5D39"/>
    <w:rsid w:val="00E74E54"/>
    <w:rsid w:val="00F7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0E7FB11-BD21-4462-ADA9-28ED9542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B4B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7"/>
      <w:szCs w:val="17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CB4BDE"/>
    <w:rPr>
      <w:rFonts w:ascii="Times New Roman" w:eastAsia="Times New Roman" w:hAnsi="Times New Roman" w:cs="Times New Roman"/>
      <w:sz w:val="17"/>
      <w:szCs w:val="17"/>
      <w:lang w:val="x-none" w:eastAsia="x-none"/>
    </w:rPr>
  </w:style>
  <w:style w:type="paragraph" w:styleId="ListParagraph">
    <w:name w:val="List Paragraph"/>
    <w:basedOn w:val="Normal"/>
    <w:uiPriority w:val="34"/>
    <w:qFormat/>
    <w:rsid w:val="00CB4BDE"/>
    <w:pPr>
      <w:widowControl w:val="0"/>
      <w:autoSpaceDE w:val="0"/>
      <w:autoSpaceDN w:val="0"/>
      <w:spacing w:after="0" w:line="240" w:lineRule="auto"/>
      <w:ind w:left="1378" w:hanging="280"/>
    </w:pPr>
    <w:rPr>
      <w:rFonts w:ascii="Times New Roman" w:eastAsia="Times New Roman" w:hAnsi="Times New Roman" w:cs="Times New Roman"/>
    </w:rPr>
  </w:style>
  <w:style w:type="character" w:customStyle="1" w:styleId="hps">
    <w:name w:val="hps"/>
    <w:basedOn w:val="DefaultParagraphFont"/>
    <w:rsid w:val="00CB4BDE"/>
  </w:style>
  <w:style w:type="paragraph" w:styleId="NoSpacing">
    <w:name w:val="No Spacing"/>
    <w:uiPriority w:val="1"/>
    <w:qFormat/>
    <w:rsid w:val="00CB4BD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ENINR">
    <w:name w:val="nENI NR."/>
    <w:basedOn w:val="Normal"/>
    <w:qFormat/>
    <w:rsid w:val="00CB4BDE"/>
    <w:pPr>
      <w:spacing w:after="0" w:line="240" w:lineRule="auto"/>
      <w:jc w:val="center"/>
    </w:pPr>
    <w:rPr>
      <w:rFonts w:ascii="Garamond" w:hAnsi="Garamond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4BD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4BD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4BDE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42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7DDC"/>
    <w:rPr>
      <w:lang w:val="sq-AL"/>
    </w:rPr>
  </w:style>
  <w:style w:type="paragraph" w:styleId="Footer">
    <w:name w:val="footer"/>
    <w:basedOn w:val="Normal"/>
    <w:link w:val="FooterChar"/>
    <w:uiPriority w:val="99"/>
    <w:semiHidden/>
    <w:unhideWhenUsed/>
    <w:rsid w:val="0042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7DDC"/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371D6064B6F040529BF60FF2DE99E028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publikimi xmlns="0e656187-b300-4fb0-8bf4-3a50f872073c" xsi:nil="true"/>
    <Nr_x002e__x0020_akti xmlns="0e656187-b300-4fb0-8bf4-3a50f872073c">14</Nr_x002e__x0020_akti>
    <Data_x0020_e_x0020_Krijimit xmlns="0e656187-b300-4fb0-8bf4-3a50f872073c">2020-11-17T11:25:57Z</Data_x0020_e_x0020_Krijimit>
    <URL xmlns="0e656187-b300-4fb0-8bf4-3a50f872073c" xsi:nil="true"/>
    <Institucion_x0020_Pergjegjes xmlns="0e656187-b300-4fb0-8bf4-3a50f872073c">http://qbz.gov.al/resource/authority/legal-institution/46|ministria-e-bujqesise-dhe-zhvillimit-rural</Institucion_x0020_Pergjegjes>
    <Lloji_x0020_i_x0020_aktit xmlns="0e656187-b300-4fb0-8bf4-3a50f872073c">Akt bazë</Lloji_x0020_i_x0020_aktit>
    <Tipi_x0020_i_x0020_aktit xmlns="0e656187-b300-4fb0-8bf4-3a50f872073c" xsi:nil="true"/>
    <P_x00eb_rshkrimi xmlns="0e656187-b300-4fb0-8bf4-3a50f872073c" xsi:nil="true"/>
    <Data_x0020_e_x0020_FZ xmlns="0e656187-b300-4fb0-8bf4-3a50f872073c" xsi:nil="true"/>
    <Akte_x0020_ekstra xmlns="0e656187-b300-4fb0-8bf4-3a50f872073c">false</Akte_x0020_ekstra>
    <Nr_x002e__x0020_FZ xmlns="0e656187-b300-4fb0-8bf4-3a50f872073c" xsi:nil="true"/>
    <Krijuesi xmlns="0e656187-b300-4fb0-8bf4-3a50f872073c">entela.suli</Krijuesi>
    <Date_x0020_protokolli xmlns="0e656187-b300-4fb0-8bf4-3a50f872073c">2020-11-16T23:00:00Z</Date_x0020_protokolli>
    <Titulli xmlns="0e656187-b300-4fb0-8bf4-3a50f872073c">Për caktimin e masave zbatuese për produkte të caktuara në udhëzimin nr. 23, datë 25.11.2010 "Për kërkesat specifike të higjenës pë mishin dhe produktet e mishit, duke përfshorë produktet e mishit, mishin e grirë dhe mishin e ndarë në mënyrë mekanike", udhëzimin nr. 25, datë 25.11.2010 "Për kushtet higjenike dhe kontrollet për molusqet e gjalla dhe biovore, peshkun dhe produktet e peshkimit" dhe udhëzimin nr. 5, datë 25.3.2011 "Për kërkesat specifike të higjenës për stabilimentet e prodhimit, grumbullumit dhe përpunimit të qumështit dhe produkteve me bazë qumështi</Titulli>
    <Modifikuesi xmlns="0e656187-b300-4fb0-8bf4-3a50f872073c">vjollca.pacrami</Modifikuesi>
    <Nr_x002e__x0020_prot_x0020_QBZ xmlns="0e656187-b300-4fb0-8bf4-3a50f872073c">1709/1</Nr_x002e__x0020_prot_x0020_QBZ>
    <Data_x0020_e_x0020_Modifikimit xmlns="0e656187-b300-4fb0-8bf4-3a50f872073c">2020-11-17T12:22:10Z</Data_x0020_e_x0020_Modifikimit>
    <Dekretuar xmlns="0e656187-b300-4fb0-8bf4-3a50f872073c">false</Dekretuar>
    <Data xmlns="0e656187-b300-4fb0-8bf4-3a50f872073c">2020-11-10T23:00:00Z</Data>
    <Nr_x002e__x0020_protokolli_x0020_i_x0020_aktit xmlns="0e656187-b300-4fb0-8bf4-3a50f872073c">10019/2</Nr_x002e__x0020_protokolli_x0020_i_x0020_aktit>
    <Data_x0020_e_x0020_Aksesimit_x0020_t_x00eb__x0020_Fundit xmlns="0e656187-b300-4fb0-8bf4-3a50f872073c" xsi:nil="true"/>
    <Eligible_x0020_To_x0020_Select xmlns="0e656187-b300-4fb0-8bf4-3a50f872073c">true</Eligible_x0020_To_x0020_Select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371D6064B6F040529BF60FF2DE99E028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813F7-D35B-442F-9D4B-E8117B06BD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B45519-D604-4364-BEF1-EA8CBEBB6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32059F0-ADBD-4EA4-BA93-AE9973E573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905D05-5485-4E37-8FF7-9A60156C2DEB}">
  <ds:schemaRefs>
    <ds:schemaRef ds:uri="http://schemas.microsoft.com/office/2006/metadata/properties"/>
    <ds:schemaRef ds:uri="http://schemas.microsoft.com/office/infopath/2007/PartnerControls"/>
    <ds:schemaRef ds:uri="0e656187-b300-4fb0-8bf4-3a50f872073c"/>
  </ds:schemaRefs>
</ds:datastoreItem>
</file>

<file path=customXml/itemProps5.xml><?xml version="1.0" encoding="utf-8"?>
<ds:datastoreItem xmlns:ds="http://schemas.openxmlformats.org/officeDocument/2006/customXml" ds:itemID="{67BD5E5B-A3EE-40F7-A504-8D761D3BE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6.xml><?xml version="1.0" encoding="utf-8"?>
<ds:datastoreItem xmlns:ds="http://schemas.openxmlformats.org/officeDocument/2006/customXml" ds:itemID="{2AD6527B-AFA3-4C6A-A367-D8AC587D5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1759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Për caktimin e masave zbatuese për produkte të caktuara në udhëzimin nr. 23, datë 25.11.2010 "Për kërkesat specifike të higjenës pë mishin dhe produktet e mishit, duke përfshorë produktet e mishit, mishin e grirë dhe mishin e ndarë në mënyrë mekanike", ud</vt:lpstr>
    </vt:vector>
  </TitlesOfParts>
  <Company/>
  <LinksUpToDate>false</LinksUpToDate>
  <CharactersWithSpaces>11768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Për caktimin e masave zbatuese për produkte të caktuara në udhëzimin nr. 23, datë 25.11.2010 "Për kërkesat specifike të higjenës pë mishin dhe produktet e mishit, duke përfshorë produktet e mishit, mishin e grirë dhe mishin e ndarë në mënyrë mekanike", udhëzimin nr. 25, datë 25.11.2010 "Për kushtet higjenike dhe kontrollet për molusqet e gjalla dhe biovore, peshkun dhe produktet e peshkimit" dhe udhëzimin nr. 5, datë 25.3.2011 "Për kërkesat specifike të higjenës për stabilimentet e prodhimit, grumbullumit dhe përpunimit të qumështit dhe produkteve me bazë qumështi</dc:title>
  <dc:creator>Entela Suli</dc:creator>
  <cp:lastModifiedBy>Edlira Dibra</cp:lastModifiedBy>
  <cp:revision>1</cp:revision>
  <dcterms:created xsi:type="dcterms:W3CDTF">2025-01-08T10:03:00Z</dcterms:created>
  <dcterms:modified xsi:type="dcterms:W3CDTF">2025-01-08T10:03:00Z</dcterms:modified>
</cp:coreProperties>
</file>